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60" w:rsidRPr="00575360" w:rsidRDefault="00575360" w:rsidP="00575360">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bookmarkStart w:id="0" w:name="_GoBack"/>
      <w:r w:rsidRPr="00575360">
        <w:rPr>
          <w:rFonts w:ascii="Arial" w:eastAsia="Times New Roman" w:hAnsi="Arial" w:cs="Arial"/>
          <w:b/>
          <w:bCs/>
          <w:color w:val="004881"/>
          <w:kern w:val="36"/>
          <w:sz w:val="27"/>
          <w:szCs w:val="27"/>
          <w:lang w:eastAsia="en-GB"/>
        </w:rPr>
        <w:t>Whether Gove or May wins on human rights, psychiatric patients will lose</w:t>
      </w:r>
    </w:p>
    <w:bookmarkEnd w:id="0"/>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We learned recently that whereas </w:t>
      </w:r>
      <w:hyperlink r:id="rId5" w:history="1">
        <w:r w:rsidRPr="00575360">
          <w:rPr>
            <w:rFonts w:ascii="Arial" w:eastAsia="Times New Roman" w:hAnsi="Arial" w:cs="Arial"/>
            <w:color w:val="004881"/>
            <w:sz w:val="18"/>
            <w:szCs w:val="18"/>
            <w:lang w:eastAsia="en-GB"/>
          </w:rPr>
          <w:t>Theresa May</w:t>
        </w:r>
      </w:hyperlink>
      <w:r w:rsidRPr="00575360">
        <w:rPr>
          <w:rFonts w:ascii="Arial" w:eastAsia="Times New Roman" w:hAnsi="Arial" w:cs="Arial"/>
          <w:color w:val="000000"/>
          <w:sz w:val="18"/>
          <w:szCs w:val="18"/>
          <w:lang w:eastAsia="en-GB"/>
        </w:rPr>
        <w:t> wants to stay in the EU, scrap the Human Rights Act and </w:t>
      </w:r>
      <w:r w:rsidRPr="00575360">
        <w:rPr>
          <w:rFonts w:ascii="Arial" w:eastAsia="Times New Roman" w:hAnsi="Arial" w:cs="Arial"/>
          <w:i/>
          <w:iCs/>
          <w:color w:val="000000"/>
          <w:sz w:val="18"/>
          <w:szCs w:val="18"/>
          <w:lang w:eastAsia="en-GB"/>
        </w:rPr>
        <w:t>leave</w:t>
      </w:r>
      <w:r w:rsidRPr="00575360">
        <w:rPr>
          <w:rFonts w:ascii="Arial" w:eastAsia="Times New Roman" w:hAnsi="Arial" w:cs="Arial"/>
          <w:color w:val="000000"/>
          <w:sz w:val="18"/>
          <w:szCs w:val="18"/>
          <w:lang w:eastAsia="en-GB"/>
        </w:rPr>
        <w:t> the European Convention on Human Rights, </w:t>
      </w:r>
      <w:hyperlink r:id="rId6" w:history="1">
        <w:r w:rsidRPr="00575360">
          <w:rPr>
            <w:rFonts w:ascii="Arial" w:eastAsia="Times New Roman" w:hAnsi="Arial" w:cs="Arial"/>
            <w:color w:val="004881"/>
            <w:sz w:val="18"/>
            <w:szCs w:val="18"/>
            <w:lang w:eastAsia="en-GB"/>
          </w:rPr>
          <w:t>Michael Gove</w:t>
        </w:r>
      </w:hyperlink>
      <w:r w:rsidRPr="00575360">
        <w:rPr>
          <w:rFonts w:ascii="Arial" w:eastAsia="Times New Roman" w:hAnsi="Arial" w:cs="Arial"/>
          <w:color w:val="000000"/>
          <w:sz w:val="18"/>
          <w:szCs w:val="18"/>
          <w:lang w:eastAsia="en-GB"/>
        </w:rPr>
        <w:t> wants to </w:t>
      </w:r>
      <w:r w:rsidRPr="00575360">
        <w:rPr>
          <w:rFonts w:ascii="Arial" w:eastAsia="Times New Roman" w:hAnsi="Arial" w:cs="Arial"/>
          <w:i/>
          <w:iCs/>
          <w:color w:val="000000"/>
          <w:sz w:val="18"/>
          <w:szCs w:val="18"/>
          <w:lang w:eastAsia="en-GB"/>
        </w:rPr>
        <w:t>keep</w:t>
      </w:r>
      <w:r w:rsidRPr="00575360">
        <w:rPr>
          <w:rFonts w:ascii="Arial" w:eastAsia="Times New Roman" w:hAnsi="Arial" w:cs="Arial"/>
          <w:color w:val="000000"/>
          <w:sz w:val="18"/>
          <w:szCs w:val="18"/>
          <w:lang w:eastAsia="en-GB"/>
        </w:rPr>
        <w:t> the European Convention, scrap the Human Rights Act and leave the EU. Neither is really a surprise, as the 2015 </w:t>
      </w:r>
      <w:hyperlink r:id="rId7" w:history="1">
        <w:r w:rsidRPr="00575360">
          <w:rPr>
            <w:rFonts w:ascii="Arial" w:eastAsia="Times New Roman" w:hAnsi="Arial" w:cs="Arial"/>
            <w:color w:val="004881"/>
            <w:sz w:val="18"/>
            <w:szCs w:val="18"/>
            <w:lang w:eastAsia="en-GB"/>
          </w:rPr>
          <w:t>Conservative Party manifesto</w:t>
        </w:r>
      </w:hyperlink>
      <w:r w:rsidRPr="00575360">
        <w:rPr>
          <w:rFonts w:ascii="Arial" w:eastAsia="Times New Roman" w:hAnsi="Arial" w:cs="Arial"/>
          <w:color w:val="000000"/>
          <w:sz w:val="18"/>
          <w:szCs w:val="18"/>
          <w:lang w:eastAsia="en-GB"/>
        </w:rPr>
        <w:t> did ominously commit to </w:t>
      </w:r>
      <w:r w:rsidRPr="00575360">
        <w:rPr>
          <w:rFonts w:ascii="Arial" w:eastAsia="Times New Roman" w:hAnsi="Arial" w:cs="Arial"/>
          <w:i/>
          <w:iCs/>
          <w:color w:val="000000"/>
          <w:sz w:val="18"/>
          <w:szCs w:val="18"/>
          <w:lang w:eastAsia="en-GB"/>
        </w:rPr>
        <w:t>‘scrap the Human Rights Act, and introduce a British Bill of Rights… break[</w:t>
      </w:r>
      <w:proofErr w:type="spellStart"/>
      <w:r w:rsidRPr="00575360">
        <w:rPr>
          <w:rFonts w:ascii="Arial" w:eastAsia="Times New Roman" w:hAnsi="Arial" w:cs="Arial"/>
          <w:i/>
          <w:iCs/>
          <w:color w:val="000000"/>
          <w:sz w:val="18"/>
          <w:szCs w:val="18"/>
          <w:lang w:eastAsia="en-GB"/>
        </w:rPr>
        <w:t>ing</w:t>
      </w:r>
      <w:proofErr w:type="spellEnd"/>
      <w:r w:rsidRPr="00575360">
        <w:rPr>
          <w:rFonts w:ascii="Arial" w:eastAsia="Times New Roman" w:hAnsi="Arial" w:cs="Arial"/>
          <w:i/>
          <w:iCs/>
          <w:color w:val="000000"/>
          <w:sz w:val="18"/>
          <w:szCs w:val="18"/>
          <w:lang w:eastAsia="en-GB"/>
        </w:rPr>
        <w:t>] the formal link between British courts and the European Court of Human Rights’.</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Either proposal should be of serious concern to anyone providing or receiving mental healthcare, as both threaten to remove legal frameworks which have quietly been safeguarding and bolstering the rights of psychiatric service users for decades, and which have directly led to significant legislative and policy changes. The ‘best-case’ scenario whereby despite losing the Human Rights Act the European Convention is retained as the ‘ultimate’ arbiter would still be hugely regrettable, as the considerable delays involved in the absence of a domestic remedy (which led to the Human Rights Act </w:t>
      </w:r>
      <w:hyperlink r:id="rId8" w:history="1">
        <w:r w:rsidRPr="00575360">
          <w:rPr>
            <w:rFonts w:ascii="Arial" w:eastAsia="Times New Roman" w:hAnsi="Arial" w:cs="Arial"/>
            <w:color w:val="004881"/>
            <w:sz w:val="18"/>
            <w:szCs w:val="18"/>
            <w:lang w:eastAsia="en-GB"/>
          </w:rPr>
          <w:t>being introduced</w:t>
        </w:r>
      </w:hyperlink>
      <w:r w:rsidRPr="00575360">
        <w:rPr>
          <w:rFonts w:ascii="Arial" w:eastAsia="Times New Roman" w:hAnsi="Arial" w:cs="Arial"/>
          <w:color w:val="000000"/>
          <w:sz w:val="18"/>
          <w:szCs w:val="18"/>
          <w:lang w:eastAsia="en-GB"/>
        </w:rPr>
        <w:t xml:space="preserve">) could well </w:t>
      </w:r>
      <w:proofErr w:type="spellStart"/>
      <w:r w:rsidRPr="00575360">
        <w:rPr>
          <w:rFonts w:ascii="Arial" w:eastAsia="Times New Roman" w:hAnsi="Arial" w:cs="Arial"/>
          <w:color w:val="000000"/>
          <w:sz w:val="18"/>
          <w:szCs w:val="18"/>
          <w:lang w:eastAsia="en-GB"/>
        </w:rPr>
        <w:t>disincentivise</w:t>
      </w:r>
      <w:proofErr w:type="spellEnd"/>
      <w:r w:rsidRPr="00575360">
        <w:rPr>
          <w:rFonts w:ascii="Arial" w:eastAsia="Times New Roman" w:hAnsi="Arial" w:cs="Arial"/>
          <w:color w:val="000000"/>
          <w:sz w:val="18"/>
          <w:szCs w:val="18"/>
          <w:lang w:eastAsia="en-GB"/>
        </w:rPr>
        <w:t xml:space="preserve"> people from bringing important cases.</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During the 1980s the mental health charity MIND used the European Convention on Human Rights to successfully argue a </w:t>
      </w:r>
      <w:hyperlink r:id="rId9" w:history="1">
        <w:r w:rsidRPr="00575360">
          <w:rPr>
            <w:rFonts w:ascii="Arial" w:eastAsia="Times New Roman" w:hAnsi="Arial" w:cs="Arial"/>
            <w:color w:val="004881"/>
            <w:sz w:val="18"/>
            <w:szCs w:val="18"/>
            <w:lang w:eastAsia="en-GB"/>
          </w:rPr>
          <w:t>series</w:t>
        </w:r>
      </w:hyperlink>
      <w:r w:rsidRPr="00575360">
        <w:rPr>
          <w:rFonts w:ascii="Arial" w:eastAsia="Times New Roman" w:hAnsi="Arial" w:cs="Arial"/>
          <w:color w:val="000000"/>
          <w:sz w:val="18"/>
          <w:szCs w:val="18"/>
          <w:lang w:eastAsia="en-GB"/>
        </w:rPr>
        <w:t> of human rights-based cases with the broader intention of changing the law. This led to legal aid being made available for service users applying to mental health tribunals, regular reviews of the necessity for detention being required, and the power to discharge patients being vested in independent tribunals rather than with the Home Secretary.</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The </w:t>
      </w:r>
      <w:hyperlink r:id="rId10" w:history="1">
        <w:r w:rsidRPr="00575360">
          <w:rPr>
            <w:rFonts w:ascii="Arial" w:eastAsia="Times New Roman" w:hAnsi="Arial" w:cs="Arial"/>
            <w:color w:val="004881"/>
            <w:sz w:val="18"/>
            <w:szCs w:val="18"/>
            <w:lang w:eastAsia="en-GB"/>
          </w:rPr>
          <w:t>Mental Health Act 2007</w:t>
        </w:r>
      </w:hyperlink>
      <w:r w:rsidRPr="00575360">
        <w:rPr>
          <w:rFonts w:ascii="Arial" w:eastAsia="Times New Roman" w:hAnsi="Arial" w:cs="Arial"/>
          <w:color w:val="000000"/>
          <w:sz w:val="18"/>
          <w:szCs w:val="18"/>
          <w:lang w:eastAsia="en-GB"/>
        </w:rPr>
        <w:t> subsequently reflected the outcome of key human rights cases, for example the seminal ruling in </w:t>
      </w:r>
      <w:hyperlink r:id="rId11" w:history="1">
        <w:r w:rsidRPr="00575360">
          <w:rPr>
            <w:rFonts w:ascii="Arial" w:eastAsia="Times New Roman" w:hAnsi="Arial" w:cs="Arial"/>
            <w:color w:val="004881"/>
            <w:sz w:val="18"/>
            <w:szCs w:val="18"/>
            <w:lang w:eastAsia="en-GB"/>
          </w:rPr>
          <w:t>HL v  United Kingdom</w:t>
        </w:r>
      </w:hyperlink>
      <w:r w:rsidRPr="00575360">
        <w:rPr>
          <w:rFonts w:ascii="Arial" w:eastAsia="Times New Roman" w:hAnsi="Arial" w:cs="Arial"/>
          <w:color w:val="000000"/>
          <w:sz w:val="18"/>
          <w:szCs w:val="18"/>
          <w:lang w:eastAsia="en-GB"/>
        </w:rPr>
        <w:t> that people who do not have mental capacity but are compliant in receiving treatment  (and who are therefore not subject to mental health legislation) should be offered legal protections in the same way as those who are non-compliant (who are formally detained and thus subject to legislative safeguards whereby detention is reviewed).</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One case in particular demonstrates how human rights frameworks have changed the law to correct a fundamental and longstanding injustice. In </w:t>
      </w:r>
      <w:hyperlink r:id="rId12" w:history="1">
        <w:r w:rsidRPr="00575360">
          <w:rPr>
            <w:rFonts w:ascii="Arial" w:eastAsia="Times New Roman" w:hAnsi="Arial" w:cs="Arial"/>
            <w:color w:val="004881"/>
            <w:sz w:val="18"/>
            <w:szCs w:val="18"/>
            <w:lang w:eastAsia="en-GB"/>
          </w:rPr>
          <w:t>ex parte H</w:t>
        </w:r>
      </w:hyperlink>
      <w:r w:rsidRPr="00575360">
        <w:rPr>
          <w:rFonts w:ascii="Arial" w:eastAsia="Times New Roman" w:hAnsi="Arial" w:cs="Arial"/>
          <w:color w:val="000000"/>
          <w:sz w:val="18"/>
          <w:szCs w:val="18"/>
          <w:lang w:eastAsia="en-GB"/>
        </w:rPr>
        <w:t> the Court of Appeal ruled that the Mental Health Act was in conflict with the Human Rights Act as the former placed the onus on applicants to mental health tribunals to demonstrate why they should be released, instead of the onus being placed on the hospital to demonstrate that the applicant’s detention should be continued. A remedial order was accordingly made rewording these sections to alter the burden of proof. This case is also particularly significant as it prompted the first ‘declaration of incompatibility’ between existing English law and the Human Rights Act to be issued by a court.</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 xml:space="preserve">Returning to </w:t>
      </w:r>
      <w:proofErr w:type="spellStart"/>
      <w:r w:rsidRPr="00575360">
        <w:rPr>
          <w:rFonts w:ascii="Arial" w:eastAsia="Times New Roman" w:hAnsi="Arial" w:cs="Arial"/>
          <w:color w:val="000000"/>
          <w:sz w:val="18"/>
          <w:szCs w:val="18"/>
          <w:lang w:eastAsia="en-GB"/>
        </w:rPr>
        <w:t>theConservative</w:t>
      </w:r>
      <w:proofErr w:type="spellEnd"/>
      <w:r w:rsidRPr="00575360">
        <w:rPr>
          <w:rFonts w:ascii="Arial" w:eastAsia="Times New Roman" w:hAnsi="Arial" w:cs="Arial"/>
          <w:color w:val="000000"/>
          <w:sz w:val="18"/>
          <w:szCs w:val="18"/>
          <w:lang w:eastAsia="en-GB"/>
        </w:rPr>
        <w:t xml:space="preserve"> manifesto, the reassurance is given that any reforms </w:t>
      </w:r>
      <w:r w:rsidRPr="00575360">
        <w:rPr>
          <w:rFonts w:ascii="Arial" w:eastAsia="Times New Roman" w:hAnsi="Arial" w:cs="Arial"/>
          <w:i/>
          <w:iCs/>
          <w:color w:val="000000"/>
          <w:sz w:val="18"/>
          <w:szCs w:val="18"/>
          <w:lang w:eastAsia="en-GB"/>
        </w:rPr>
        <w:t>‘will remain faithful to the basic principles of human rights’</w:t>
      </w:r>
      <w:r w:rsidRPr="00575360">
        <w:rPr>
          <w:rFonts w:ascii="Arial" w:eastAsia="Times New Roman" w:hAnsi="Arial" w:cs="Arial"/>
          <w:color w:val="000000"/>
          <w:sz w:val="18"/>
          <w:szCs w:val="18"/>
          <w:lang w:eastAsia="en-GB"/>
        </w:rPr>
        <w:t xml:space="preserve">. </w:t>
      </w:r>
      <w:proofErr w:type="gramStart"/>
      <w:r w:rsidRPr="00575360">
        <w:rPr>
          <w:rFonts w:ascii="Arial" w:eastAsia="Times New Roman" w:hAnsi="Arial" w:cs="Arial"/>
          <w:color w:val="000000"/>
          <w:sz w:val="18"/>
          <w:szCs w:val="18"/>
          <w:lang w:eastAsia="en-GB"/>
        </w:rPr>
        <w:t>A </w:t>
      </w:r>
      <w:hyperlink r:id="rId13" w:history="1">
        <w:r w:rsidRPr="00575360">
          <w:rPr>
            <w:rFonts w:ascii="Arial" w:eastAsia="Times New Roman" w:hAnsi="Arial" w:cs="Arial"/>
            <w:color w:val="004881"/>
            <w:sz w:val="18"/>
            <w:szCs w:val="18"/>
            <w:lang w:eastAsia="en-GB"/>
          </w:rPr>
          <w:t>horrendous case</w:t>
        </w:r>
      </w:hyperlink>
      <w:r w:rsidRPr="00575360">
        <w:rPr>
          <w:rFonts w:ascii="Arial" w:eastAsia="Times New Roman" w:hAnsi="Arial" w:cs="Arial"/>
          <w:color w:val="000000"/>
          <w:sz w:val="18"/>
          <w:szCs w:val="18"/>
          <w:lang w:eastAsia="en-GB"/>
        </w:rPr>
        <w:t> where a woman who was detained under the Mental Health Act and found that she could not challenge the appointment of her adoptive father as her ‘nearest relative’ (even though he had sexually abused her when she was a child) belies this.</w:t>
      </w:r>
      <w:proofErr w:type="gramEnd"/>
      <w:r w:rsidRPr="00575360">
        <w:rPr>
          <w:rFonts w:ascii="Arial" w:eastAsia="Times New Roman" w:hAnsi="Arial" w:cs="Arial"/>
          <w:color w:val="000000"/>
          <w:sz w:val="18"/>
          <w:szCs w:val="18"/>
          <w:lang w:eastAsia="en-GB"/>
        </w:rPr>
        <w:t xml:space="preserve"> A court found that the woman’s inability to contest this appointment was a breach of her human rights, and following the judgement the Mental Health Act 2007 provided that challenges could be made. The right she invoked to challenge this legal loophole was the right to a private and family life - one of the particular rights that the Conservative manifesto had in its sights (on the spurious ground that it gives foreign criminals some kind of blanket right to stay in the UK – although in fact </w:t>
      </w:r>
      <w:hyperlink r:id="rId14" w:history="1">
        <w:r w:rsidRPr="00575360">
          <w:rPr>
            <w:rFonts w:ascii="Arial" w:eastAsia="Times New Roman" w:hAnsi="Arial" w:cs="Arial"/>
            <w:color w:val="004881"/>
            <w:sz w:val="18"/>
            <w:szCs w:val="18"/>
            <w:lang w:eastAsia="en-GB"/>
          </w:rPr>
          <w:t>it does no such thing</w:t>
        </w:r>
      </w:hyperlink>
      <w:r w:rsidRPr="00575360">
        <w:rPr>
          <w:rFonts w:ascii="Arial" w:eastAsia="Times New Roman" w:hAnsi="Arial" w:cs="Arial"/>
          <w:color w:val="000000"/>
          <w:sz w:val="18"/>
          <w:szCs w:val="18"/>
          <w:lang w:eastAsia="en-GB"/>
        </w:rPr>
        <w:t>). Without this right being available, the woman in question would have had no legal recourse, and there would have been no lever to change the faulty legislation.</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There is still more to be done, and human rights laws continue to act as levers for positive change. These include the case of </w:t>
      </w:r>
      <w:hyperlink r:id="rId15" w:history="1">
        <w:r w:rsidRPr="00575360">
          <w:rPr>
            <w:rFonts w:ascii="Arial" w:eastAsia="Times New Roman" w:hAnsi="Arial" w:cs="Arial"/>
            <w:color w:val="004881"/>
            <w:sz w:val="18"/>
            <w:szCs w:val="18"/>
            <w:lang w:eastAsia="en-GB"/>
          </w:rPr>
          <w:t>R (B) v DPP</w:t>
        </w:r>
      </w:hyperlink>
      <w:r w:rsidRPr="00575360">
        <w:rPr>
          <w:rFonts w:ascii="Arial" w:eastAsia="Times New Roman" w:hAnsi="Arial" w:cs="Arial"/>
          <w:color w:val="000000"/>
          <w:sz w:val="18"/>
          <w:szCs w:val="18"/>
          <w:lang w:eastAsia="en-GB"/>
        </w:rPr>
        <w:t> which changed CPS guidelines to safeguard against people with mental illness automatically being treated as unreliable witnesses, and the case of </w:t>
      </w:r>
      <w:hyperlink r:id="rId16" w:anchor="{&quot;dmdocnumber&quot;:[&quot;907418&quot;],&quot;itemid&quot;:[&quot;001-110717&quot;]}" w:history="1">
        <w:r w:rsidRPr="00575360">
          <w:rPr>
            <w:rFonts w:ascii="Arial" w:eastAsia="Times New Roman" w:hAnsi="Arial" w:cs="Arial"/>
            <w:color w:val="004881"/>
            <w:sz w:val="18"/>
            <w:szCs w:val="18"/>
            <w:lang w:eastAsia="en-GB"/>
          </w:rPr>
          <w:t>MS v UK</w:t>
        </w:r>
      </w:hyperlink>
      <w:r w:rsidRPr="00575360">
        <w:rPr>
          <w:rFonts w:ascii="Arial" w:eastAsia="Times New Roman" w:hAnsi="Arial" w:cs="Arial"/>
          <w:color w:val="000000"/>
          <w:sz w:val="18"/>
          <w:szCs w:val="18"/>
          <w:lang w:eastAsia="en-GB"/>
        </w:rPr>
        <w:t> which established that holding someone experiencing a mental health crisis in a police cell can amount to inhuman treatment in certain circumstances. </w:t>
      </w:r>
      <w:hyperlink r:id="rId17" w:history="1">
        <w:r w:rsidRPr="00575360">
          <w:rPr>
            <w:rFonts w:ascii="Arial" w:eastAsia="Times New Roman" w:hAnsi="Arial" w:cs="Arial"/>
            <w:color w:val="004881"/>
            <w:sz w:val="18"/>
            <w:szCs w:val="18"/>
            <w:lang w:eastAsia="en-GB"/>
          </w:rPr>
          <w:t>Legislation</w:t>
        </w:r>
      </w:hyperlink>
      <w:r w:rsidRPr="00575360">
        <w:rPr>
          <w:rFonts w:ascii="Arial" w:eastAsia="Times New Roman" w:hAnsi="Arial" w:cs="Arial"/>
          <w:color w:val="000000"/>
          <w:sz w:val="18"/>
          <w:szCs w:val="18"/>
          <w:lang w:eastAsia="en-GB"/>
        </w:rPr>
        <w:t xml:space="preserve"> is currently being passed to significantly reduce the amount of time that someone who is mentally ill can be lawfully detained in a police cell, and the citation of MS v UK in the accompanying </w:t>
      </w:r>
      <w:proofErr w:type="spellStart"/>
      <w:r w:rsidRPr="00575360">
        <w:rPr>
          <w:rFonts w:ascii="Arial" w:eastAsia="Times New Roman" w:hAnsi="Arial" w:cs="Arial"/>
          <w:color w:val="000000"/>
          <w:sz w:val="18"/>
          <w:szCs w:val="18"/>
          <w:lang w:eastAsia="en-GB"/>
        </w:rPr>
        <w:t>evidence</w:t>
      </w:r>
      <w:hyperlink r:id="rId18" w:history="1">
        <w:r w:rsidRPr="00575360">
          <w:rPr>
            <w:rFonts w:ascii="Arial" w:eastAsia="Times New Roman" w:hAnsi="Arial" w:cs="Arial"/>
            <w:color w:val="004881"/>
            <w:sz w:val="18"/>
            <w:szCs w:val="18"/>
            <w:lang w:eastAsia="en-GB"/>
          </w:rPr>
          <w:t>review</w:t>
        </w:r>
        <w:proofErr w:type="spellEnd"/>
      </w:hyperlink>
      <w:r w:rsidRPr="00575360">
        <w:rPr>
          <w:rFonts w:ascii="Arial" w:eastAsia="Times New Roman" w:hAnsi="Arial" w:cs="Arial"/>
          <w:color w:val="000000"/>
          <w:sz w:val="18"/>
          <w:szCs w:val="18"/>
          <w:lang w:eastAsia="en-GB"/>
        </w:rPr>
        <w:t> suggests this case was a key influence. </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color w:val="000000"/>
          <w:sz w:val="18"/>
          <w:szCs w:val="18"/>
          <w:lang w:eastAsia="en-GB"/>
        </w:rPr>
        <w:t>Mental health is still a long way away from achieving </w:t>
      </w:r>
      <w:hyperlink r:id="rId19" w:history="1">
        <w:r w:rsidRPr="00575360">
          <w:rPr>
            <w:rFonts w:ascii="Arial" w:eastAsia="Times New Roman" w:hAnsi="Arial" w:cs="Arial"/>
            <w:color w:val="004881"/>
            <w:sz w:val="18"/>
            <w:szCs w:val="18"/>
            <w:lang w:eastAsia="en-GB"/>
          </w:rPr>
          <w:t>‘parity of esteem’</w:t>
        </w:r>
      </w:hyperlink>
      <w:r w:rsidRPr="00575360">
        <w:rPr>
          <w:rFonts w:ascii="Arial" w:eastAsia="Times New Roman" w:hAnsi="Arial" w:cs="Arial"/>
          <w:color w:val="000000"/>
          <w:sz w:val="18"/>
          <w:szCs w:val="18"/>
          <w:lang w:eastAsia="en-GB"/>
        </w:rPr>
        <w:t> with physical health. Although we acknowledge that this is a complicated topic and </w:t>
      </w:r>
      <w:hyperlink r:id="rId20" w:history="1">
        <w:r w:rsidRPr="00575360">
          <w:rPr>
            <w:rFonts w:ascii="Arial" w:eastAsia="Times New Roman" w:hAnsi="Arial" w:cs="Arial"/>
            <w:color w:val="004881"/>
            <w:sz w:val="18"/>
            <w:szCs w:val="18"/>
            <w:lang w:eastAsia="en-GB"/>
          </w:rPr>
          <w:t>not always straightforward</w:t>
        </w:r>
      </w:hyperlink>
      <w:r w:rsidRPr="00575360">
        <w:rPr>
          <w:rFonts w:ascii="Arial" w:eastAsia="Times New Roman" w:hAnsi="Arial" w:cs="Arial"/>
          <w:color w:val="000000"/>
          <w:sz w:val="18"/>
          <w:szCs w:val="18"/>
          <w:lang w:eastAsia="en-GB"/>
        </w:rPr>
        <w:t xml:space="preserve">, repealing the Human Rights Act and/or withdrawing from the European Convention on Human Rights will remove mechanisms that have made huge strides in closing the current gulf, and which have the potential to continue to make a positive difference. If the government is serious about parity of esteem – </w:t>
      </w:r>
      <w:proofErr w:type="gramStart"/>
      <w:r w:rsidRPr="00575360">
        <w:rPr>
          <w:rFonts w:ascii="Arial" w:eastAsia="Times New Roman" w:hAnsi="Arial" w:cs="Arial"/>
          <w:color w:val="000000"/>
          <w:sz w:val="18"/>
          <w:szCs w:val="18"/>
          <w:lang w:eastAsia="en-GB"/>
        </w:rPr>
        <w:t>which it certainly </w:t>
      </w:r>
      <w:hyperlink r:id="rId21" w:history="1">
        <w:r w:rsidRPr="00575360">
          <w:rPr>
            <w:rFonts w:ascii="Arial" w:eastAsia="Times New Roman" w:hAnsi="Arial" w:cs="Arial"/>
            <w:color w:val="004881"/>
            <w:sz w:val="18"/>
            <w:szCs w:val="18"/>
            <w:lang w:eastAsia="en-GB"/>
          </w:rPr>
          <w:t>professes</w:t>
        </w:r>
      </w:hyperlink>
      <w:r w:rsidRPr="00575360">
        <w:rPr>
          <w:rFonts w:ascii="Arial" w:eastAsia="Times New Roman" w:hAnsi="Arial" w:cs="Arial"/>
          <w:color w:val="000000"/>
          <w:sz w:val="18"/>
          <w:szCs w:val="18"/>
          <w:lang w:eastAsia="en-GB"/>
        </w:rPr>
        <w:t> to be - then neither May nor</w:t>
      </w:r>
      <w:proofErr w:type="gramEnd"/>
      <w:r w:rsidRPr="00575360">
        <w:rPr>
          <w:rFonts w:ascii="Arial" w:eastAsia="Times New Roman" w:hAnsi="Arial" w:cs="Arial"/>
          <w:color w:val="000000"/>
          <w:sz w:val="18"/>
          <w:szCs w:val="18"/>
          <w:lang w:eastAsia="en-GB"/>
        </w:rPr>
        <w:t xml:space="preserve"> Gove's proposal should be on, or anywhere near, the table. </w:t>
      </w:r>
    </w:p>
    <w:p w:rsidR="00575360" w:rsidRPr="00575360" w:rsidRDefault="00575360" w:rsidP="00575360">
      <w:pPr>
        <w:shd w:val="clear" w:color="auto" w:fill="FFFFFF"/>
        <w:spacing w:before="120" w:after="120" w:line="252" w:lineRule="atLeast"/>
        <w:rPr>
          <w:rFonts w:ascii="Arial" w:eastAsia="Times New Roman" w:hAnsi="Arial" w:cs="Arial"/>
          <w:color w:val="000000"/>
          <w:sz w:val="18"/>
          <w:szCs w:val="18"/>
          <w:lang w:eastAsia="en-GB"/>
        </w:rPr>
      </w:pPr>
      <w:r w:rsidRPr="00575360">
        <w:rPr>
          <w:rFonts w:ascii="Arial" w:eastAsia="Times New Roman" w:hAnsi="Arial" w:cs="Arial"/>
          <w:b/>
          <w:bCs/>
          <w:i/>
          <w:iCs/>
          <w:color w:val="000000"/>
          <w:sz w:val="18"/>
          <w:szCs w:val="18"/>
          <w:lang w:eastAsia="en-GB"/>
        </w:rPr>
        <w:t>Simon Wessely - President, Royal College of Psychiatrists</w:t>
      </w:r>
    </w:p>
    <w:p w:rsidR="00575360" w:rsidRPr="00575360" w:rsidRDefault="00575360" w:rsidP="00575360">
      <w:pPr>
        <w:shd w:val="clear" w:color="auto" w:fill="FFFFFF"/>
        <w:spacing w:before="120" w:line="252" w:lineRule="atLeast"/>
        <w:rPr>
          <w:rFonts w:ascii="Arial" w:eastAsia="Times New Roman" w:hAnsi="Arial" w:cs="Arial"/>
          <w:color w:val="000000"/>
          <w:sz w:val="18"/>
          <w:szCs w:val="18"/>
          <w:lang w:eastAsia="en-GB"/>
        </w:rPr>
      </w:pPr>
      <w:r w:rsidRPr="00575360">
        <w:rPr>
          <w:rFonts w:ascii="Arial" w:eastAsia="Times New Roman" w:hAnsi="Arial" w:cs="Arial"/>
          <w:b/>
          <w:bCs/>
          <w:i/>
          <w:iCs/>
          <w:color w:val="000000"/>
          <w:sz w:val="18"/>
          <w:szCs w:val="18"/>
          <w:lang w:eastAsia="en-GB"/>
        </w:rPr>
        <w:t>Greg Smith - Policy Analyst, Royal College of Psychiatrists</w:t>
      </w:r>
    </w:p>
    <w:p w:rsidR="000706C4" w:rsidRDefault="000706C4"/>
    <w:sectPr w:rsidR="000706C4" w:rsidSect="005753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60"/>
    <w:rsid w:val="000706C4"/>
    <w:rsid w:val="0057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36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753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575360"/>
  </w:style>
  <w:style w:type="character" w:customStyle="1" w:styleId="apple-converted-space">
    <w:name w:val="apple-converted-space"/>
    <w:basedOn w:val="DefaultParagraphFont"/>
    <w:rsid w:val="00575360"/>
  </w:style>
  <w:style w:type="character" w:styleId="Hyperlink">
    <w:name w:val="Hyperlink"/>
    <w:basedOn w:val="DefaultParagraphFont"/>
    <w:uiPriority w:val="99"/>
    <w:semiHidden/>
    <w:unhideWhenUsed/>
    <w:rsid w:val="00575360"/>
    <w:rPr>
      <w:color w:val="0000FF"/>
      <w:u w:val="single"/>
    </w:rPr>
  </w:style>
  <w:style w:type="character" w:styleId="Emphasis">
    <w:name w:val="Emphasis"/>
    <w:basedOn w:val="DefaultParagraphFont"/>
    <w:uiPriority w:val="20"/>
    <w:qFormat/>
    <w:rsid w:val="00575360"/>
    <w:rPr>
      <w:i/>
      <w:iCs/>
    </w:rPr>
  </w:style>
  <w:style w:type="character" w:customStyle="1" w:styleId="s2">
    <w:name w:val="s2"/>
    <w:basedOn w:val="DefaultParagraphFont"/>
    <w:rsid w:val="00575360"/>
  </w:style>
  <w:style w:type="paragraph" w:customStyle="1" w:styleId="s11">
    <w:name w:val="s11"/>
    <w:basedOn w:val="Normal"/>
    <w:rsid w:val="005753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3">
    <w:name w:val="s3"/>
    <w:basedOn w:val="DefaultParagraphFont"/>
    <w:rsid w:val="00575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3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36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753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575360"/>
  </w:style>
  <w:style w:type="character" w:customStyle="1" w:styleId="apple-converted-space">
    <w:name w:val="apple-converted-space"/>
    <w:basedOn w:val="DefaultParagraphFont"/>
    <w:rsid w:val="00575360"/>
  </w:style>
  <w:style w:type="character" w:styleId="Hyperlink">
    <w:name w:val="Hyperlink"/>
    <w:basedOn w:val="DefaultParagraphFont"/>
    <w:uiPriority w:val="99"/>
    <w:semiHidden/>
    <w:unhideWhenUsed/>
    <w:rsid w:val="00575360"/>
    <w:rPr>
      <w:color w:val="0000FF"/>
      <w:u w:val="single"/>
    </w:rPr>
  </w:style>
  <w:style w:type="character" w:styleId="Emphasis">
    <w:name w:val="Emphasis"/>
    <w:basedOn w:val="DefaultParagraphFont"/>
    <w:uiPriority w:val="20"/>
    <w:qFormat/>
    <w:rsid w:val="00575360"/>
    <w:rPr>
      <w:i/>
      <w:iCs/>
    </w:rPr>
  </w:style>
  <w:style w:type="character" w:customStyle="1" w:styleId="s2">
    <w:name w:val="s2"/>
    <w:basedOn w:val="DefaultParagraphFont"/>
    <w:rsid w:val="00575360"/>
  </w:style>
  <w:style w:type="paragraph" w:customStyle="1" w:styleId="s11">
    <w:name w:val="s11"/>
    <w:basedOn w:val="Normal"/>
    <w:rsid w:val="005753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3">
    <w:name w:val="s3"/>
    <w:basedOn w:val="DefaultParagraphFont"/>
    <w:rsid w:val="0057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3080">
      <w:bodyDiv w:val="1"/>
      <w:marLeft w:val="0"/>
      <w:marRight w:val="0"/>
      <w:marTop w:val="0"/>
      <w:marBottom w:val="0"/>
      <w:divBdr>
        <w:top w:val="none" w:sz="0" w:space="0" w:color="auto"/>
        <w:left w:val="none" w:sz="0" w:space="0" w:color="auto"/>
        <w:bottom w:val="none" w:sz="0" w:space="0" w:color="auto"/>
        <w:right w:val="none" w:sz="0" w:space="0" w:color="auto"/>
      </w:divBdr>
      <w:divsChild>
        <w:div w:id="126163377">
          <w:marLeft w:val="0"/>
          <w:marRight w:val="0"/>
          <w:marTop w:val="0"/>
          <w:marBottom w:val="0"/>
          <w:divBdr>
            <w:top w:val="none" w:sz="0" w:space="0" w:color="auto"/>
            <w:left w:val="none" w:sz="0" w:space="0" w:color="auto"/>
            <w:bottom w:val="none" w:sz="0" w:space="0" w:color="auto"/>
            <w:right w:val="none" w:sz="0" w:space="0" w:color="auto"/>
          </w:divBdr>
        </w:div>
        <w:div w:id="409278817">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63526/rights.pdf" TargetMode="External"/><Relationship Id="rId13" Type="http://schemas.openxmlformats.org/officeDocument/2006/relationships/hyperlink" Target="http://www.bailii.org/cgi-bin/markup.cgi?doc=/ew/cases/EWHC/Admin/2003/1094.html" TargetMode="External"/><Relationship Id="rId18" Type="http://schemas.openxmlformats.org/officeDocument/2006/relationships/hyperlink" Target="https://www.gov.uk/government/uploads/system/uploads/attachment_data/file/389254/Literature_Review_S135_and_S136_of_the_Mental_Health_Act_1983.pdf" TargetMode="External"/><Relationship Id="rId3" Type="http://schemas.openxmlformats.org/officeDocument/2006/relationships/settings" Target="settings.xml"/><Relationship Id="rId21" Type="http://schemas.openxmlformats.org/officeDocument/2006/relationships/hyperlink" Target="http://www.theyworkforyou.com/debates/?id=2016-03-22a.1366.2&amp;s=%27parity+of+esteem%27" TargetMode="External"/><Relationship Id="rId7" Type="http://schemas.openxmlformats.org/officeDocument/2006/relationships/hyperlink" Target="https://s3-eu-west-1.amazonaws.com/manifesto2015/ConservativeManifesto2015.pdf" TargetMode="External"/><Relationship Id="rId12" Type="http://schemas.openxmlformats.org/officeDocument/2006/relationships/hyperlink" Target="http://www.bailii.org/ew/cases/EWCA/Civ/2001/415.html" TargetMode="External"/><Relationship Id="rId17" Type="http://schemas.openxmlformats.org/officeDocument/2006/relationships/hyperlink" Target="http://services.parliament.uk/bills/2015-16/policingandcrime.html" TargetMode="External"/><Relationship Id="rId2" Type="http://schemas.microsoft.com/office/2007/relationships/stylesWithEffects" Target="stylesWithEffects.xml"/><Relationship Id="rId16" Type="http://schemas.openxmlformats.org/officeDocument/2006/relationships/hyperlink" Target="http://hudoc.echr.coe.int/eng" TargetMode="External"/><Relationship Id="rId20" Type="http://schemas.openxmlformats.org/officeDocument/2006/relationships/hyperlink" Target="http://www.theguardian.com/law/2012/may/03/strasbourg-wrong-ms-uk" TargetMode="External"/><Relationship Id="rId1" Type="http://schemas.openxmlformats.org/officeDocument/2006/relationships/styles" Target="styles.xml"/><Relationship Id="rId6" Type="http://schemas.openxmlformats.org/officeDocument/2006/relationships/hyperlink" Target="http://www.telegraph.co.uk/news/2016/04/26/michael-gove-and-dominic-raab-turn-on-theresa-may-over-human-rig/" TargetMode="External"/><Relationship Id="rId11" Type="http://schemas.openxmlformats.org/officeDocument/2006/relationships/hyperlink" Target="http://www.bailii.org/eu/cases/ECHR/2004/471.html" TargetMode="External"/><Relationship Id="rId5" Type="http://schemas.openxmlformats.org/officeDocument/2006/relationships/hyperlink" Target="http://www.independent.co.uk/news/uk/politics/european-convention-human-rights-eu-referendum-brexit-theresa-may-a6999701.html" TargetMode="External"/><Relationship Id="rId15" Type="http://schemas.openxmlformats.org/officeDocument/2006/relationships/hyperlink" Target="http://www.mentalhealthlaw.co.uk/R_(B)_v_DPP_(2009)_EWHC_106_(Admin)" TargetMode="External"/><Relationship Id="rId23" Type="http://schemas.openxmlformats.org/officeDocument/2006/relationships/theme" Target="theme/theme1.xml"/><Relationship Id="rId10" Type="http://schemas.openxmlformats.org/officeDocument/2006/relationships/hyperlink" Target="http://www.legislation.gov.uk/ukpga/2007/12/pdfs/ukpga_20070012_en.pdf" TargetMode="External"/><Relationship Id="rId19" Type="http://schemas.openxmlformats.org/officeDocument/2006/relationships/hyperlink" Target="http://www.rcpsych.ac.uk/pdf/OP88.pdf" TargetMode="External"/><Relationship Id="rId4" Type="http://schemas.openxmlformats.org/officeDocument/2006/relationships/webSettings" Target="webSettings.xml"/><Relationship Id="rId9" Type="http://schemas.openxmlformats.org/officeDocument/2006/relationships/hyperlink" Target="http://www.sciencedirect.com/science/article/pii/S0160252799000394" TargetMode="External"/><Relationship Id="rId14" Type="http://schemas.openxmlformats.org/officeDocument/2006/relationships/hyperlink" Target="https://www.liberty-human-rights.org.uk/human-rights/what-are-human-rights/human-rights-act/human-rights-act-mythbus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2016-06-09T08:48:00Z</dcterms:created>
  <dcterms:modified xsi:type="dcterms:W3CDTF">2016-06-09T08:48:00Z</dcterms:modified>
</cp:coreProperties>
</file>