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9EAB1" w14:textId="77777777" w:rsidR="00964FDF" w:rsidRDefault="00964FDF" w:rsidP="00964FDF">
      <w:pPr>
        <w:spacing w:after="480" w:line="437" w:lineRule="atLeast"/>
        <w:outlineLvl w:val="1"/>
        <w:rPr>
          <w:rFonts w:ascii="&amp;quot" w:eastAsia="Times New Roman" w:hAnsi="&amp;quot" w:cs="Times New Roman"/>
          <w:b/>
          <w:bCs/>
          <w:color w:val="333333"/>
          <w:sz w:val="34"/>
          <w:szCs w:val="34"/>
          <w:lang w:eastAsia="en-GB"/>
        </w:rPr>
      </w:pPr>
    </w:p>
    <w:p w14:paraId="7A68B00D" w14:textId="57636327" w:rsidR="00964FDF" w:rsidRDefault="00964FDF" w:rsidP="00964FDF">
      <w:pPr>
        <w:spacing w:after="480" w:line="437" w:lineRule="atLeast"/>
        <w:outlineLvl w:val="1"/>
        <w:rPr>
          <w:rFonts w:ascii="&amp;quot" w:eastAsia="Times New Roman" w:hAnsi="&amp;quot" w:cs="Times New Roman"/>
          <w:b/>
          <w:bCs/>
          <w:color w:val="333333"/>
          <w:sz w:val="34"/>
          <w:szCs w:val="34"/>
          <w:lang w:eastAsia="en-GB"/>
        </w:rPr>
      </w:pPr>
      <w:r w:rsidRPr="00964FDF">
        <w:rPr>
          <w:rFonts w:ascii="&amp;quot" w:eastAsia="Times New Roman" w:hAnsi="&amp;quot" w:cs="Times New Roman"/>
          <w:b/>
          <w:bCs/>
          <w:color w:val="333333"/>
          <w:sz w:val="34"/>
          <w:szCs w:val="34"/>
          <w:lang w:eastAsia="en-GB"/>
        </w:rPr>
        <w:t xml:space="preserve">Letter to the </w:t>
      </w:r>
      <w:proofErr w:type="gramStart"/>
      <w:r w:rsidRPr="00964FDF">
        <w:rPr>
          <w:rFonts w:ascii="&amp;quot" w:eastAsia="Times New Roman" w:hAnsi="&amp;quot" w:cs="Times New Roman"/>
          <w:b/>
          <w:bCs/>
          <w:color w:val="333333"/>
          <w:sz w:val="34"/>
          <w:szCs w:val="34"/>
          <w:lang w:eastAsia="en-GB"/>
        </w:rPr>
        <w:t>Editor</w:t>
      </w:r>
      <w:r>
        <w:rPr>
          <w:rFonts w:ascii="&amp;quot" w:eastAsia="Times New Roman" w:hAnsi="&amp;quot" w:cs="Times New Roman"/>
          <w:b/>
          <w:bCs/>
          <w:color w:val="333333"/>
          <w:sz w:val="34"/>
          <w:szCs w:val="34"/>
          <w:lang w:eastAsia="en-GB"/>
        </w:rPr>
        <w:t>;  Oxford</w:t>
      </w:r>
      <w:proofErr w:type="gramEnd"/>
      <w:r>
        <w:rPr>
          <w:rFonts w:ascii="&amp;quot" w:eastAsia="Times New Roman" w:hAnsi="&amp;quot" w:cs="Times New Roman"/>
          <w:b/>
          <w:bCs/>
          <w:color w:val="333333"/>
          <w:sz w:val="34"/>
          <w:szCs w:val="34"/>
          <w:lang w:eastAsia="en-GB"/>
        </w:rPr>
        <w:t xml:space="preserve"> Criteria:  A response to </w:t>
      </w:r>
      <w:proofErr w:type="spellStart"/>
      <w:r>
        <w:rPr>
          <w:rFonts w:ascii="&amp;quot" w:eastAsia="Times New Roman" w:hAnsi="&amp;quot" w:cs="Times New Roman"/>
          <w:b/>
          <w:bCs/>
          <w:color w:val="333333"/>
          <w:sz w:val="34"/>
          <w:szCs w:val="34"/>
          <w:lang w:eastAsia="en-GB"/>
        </w:rPr>
        <w:t>Baraniuk</w:t>
      </w:r>
      <w:proofErr w:type="spellEnd"/>
    </w:p>
    <w:p w14:paraId="1ADFBE70" w14:textId="64F702EF" w:rsidR="00964FDF" w:rsidRDefault="00964FDF" w:rsidP="00964FDF">
      <w:pPr>
        <w:spacing w:after="480" w:line="437" w:lineRule="atLeast"/>
        <w:outlineLvl w:val="1"/>
        <w:rPr>
          <w:rFonts w:ascii="&amp;quot" w:eastAsia="Times New Roman" w:hAnsi="&amp;quot" w:cs="Times New Roman"/>
          <w:b/>
          <w:bCs/>
          <w:color w:val="333333"/>
          <w:sz w:val="34"/>
          <w:szCs w:val="34"/>
          <w:lang w:eastAsia="en-GB"/>
        </w:rPr>
      </w:pPr>
      <w:r>
        <w:rPr>
          <w:rFonts w:ascii="&amp;quot" w:eastAsia="Times New Roman" w:hAnsi="&amp;quot" w:cs="Times New Roman"/>
          <w:b/>
          <w:bCs/>
          <w:color w:val="333333"/>
          <w:sz w:val="34"/>
          <w:szCs w:val="34"/>
          <w:lang w:eastAsia="en-GB"/>
        </w:rPr>
        <w:t>Fatigue, Biomedicine and Behaviour 2017: 6: 61-62</w:t>
      </w:r>
    </w:p>
    <w:p w14:paraId="6264E8C7" w14:textId="77777777" w:rsidR="00964FDF" w:rsidRPr="00964FDF" w:rsidRDefault="00964FDF" w:rsidP="00964FDF">
      <w:pPr>
        <w:spacing w:after="480" w:line="437" w:lineRule="atLeast"/>
        <w:outlineLvl w:val="1"/>
        <w:rPr>
          <w:rFonts w:ascii="&amp;quot" w:eastAsia="Times New Roman" w:hAnsi="&amp;quot" w:cs="Times New Roman"/>
          <w:b/>
          <w:bCs/>
          <w:color w:val="333333"/>
          <w:sz w:val="34"/>
          <w:szCs w:val="34"/>
          <w:lang w:eastAsia="en-GB"/>
        </w:rPr>
      </w:pPr>
      <w:r w:rsidRPr="00964FDF">
        <w:rPr>
          <w:rFonts w:ascii="&amp;quot" w:eastAsia="Times New Roman" w:hAnsi="&amp;quot" w:cs="Times New Roman"/>
          <w:b/>
          <w:bCs/>
          <w:color w:val="333333"/>
          <w:sz w:val="34"/>
          <w:szCs w:val="34"/>
          <w:lang w:eastAsia="en-GB"/>
        </w:rPr>
        <w:t>Letter to the Editor</w:t>
      </w:r>
    </w:p>
    <w:p w14:paraId="544309EF" w14:textId="558F7BFB" w:rsidR="00964FDF" w:rsidRPr="00964FDF" w:rsidRDefault="00964FDF" w:rsidP="00964FDF">
      <w:pPr>
        <w:spacing w:before="264" w:after="0" w:line="240" w:lineRule="auto"/>
        <w:rPr>
          <w:rFonts w:ascii="&amp;quot" w:eastAsia="Times New Roman" w:hAnsi="&amp;quot" w:cs="Times New Roman"/>
          <w:color w:val="333333"/>
          <w:sz w:val="26"/>
          <w:szCs w:val="26"/>
          <w:lang w:eastAsia="en-GB"/>
        </w:rPr>
      </w:pPr>
      <w:r w:rsidRPr="00964FDF">
        <w:rPr>
          <w:rFonts w:ascii="&amp;quot" w:eastAsia="Times New Roman" w:hAnsi="&amp;quot" w:cs="Times New Roman"/>
          <w:color w:val="333333"/>
          <w:sz w:val="26"/>
          <w:szCs w:val="26"/>
          <w:lang w:eastAsia="en-GB"/>
        </w:rPr>
        <w:t>In his recent paper in this journal [</w:t>
      </w:r>
      <w:hyperlink r:id="rId5" w:history="1">
        <w:r w:rsidRPr="00964FDF">
          <w:rPr>
            <w:rFonts w:ascii="&amp;quot" w:eastAsia="Times New Roman" w:hAnsi="&amp;quot" w:cs="Times New Roman"/>
            <w:color w:val="10147E"/>
            <w:sz w:val="26"/>
            <w:szCs w:val="26"/>
            <w:u w:val="single"/>
            <w:lang w:eastAsia="en-GB"/>
          </w:rPr>
          <w:t>1</w:t>
        </w:r>
      </w:hyperlink>
      <w:r w:rsidRPr="00964FDF">
        <w:rPr>
          <w:rFonts w:ascii="&amp;quot" w:eastAsia="Times New Roman" w:hAnsi="&amp;quot" w:cs="Times New Roman"/>
          <w:color w:val="333333"/>
          <w:shd w:val="clear" w:color="auto" w:fill="FFFFFF"/>
          <w:lang w:eastAsia="en-GB"/>
        </w:rPr>
        <w:t xml:space="preserve"> </w:t>
      </w:r>
      <w:r w:rsidR="008E6248">
        <w:rPr>
          <w:rFonts w:ascii="&amp;quot" w:eastAsia="Times New Roman" w:hAnsi="&amp;quot" w:cs="Times New Roman"/>
          <w:color w:val="333333"/>
          <w:shd w:val="clear" w:color="auto" w:fill="FFFFFF"/>
          <w:lang w:eastAsia="en-GB"/>
        </w:rPr>
        <w:t>]</w:t>
      </w:r>
      <w:proofErr w:type="spellStart"/>
      <w:r w:rsidRPr="00964FDF">
        <w:rPr>
          <w:rFonts w:ascii="&amp;quot" w:eastAsia="Times New Roman" w:hAnsi="&amp;quot" w:cs="Times New Roman"/>
          <w:color w:val="333333"/>
          <w:sz w:val="26"/>
          <w:szCs w:val="26"/>
          <w:lang w:eastAsia="en-GB"/>
        </w:rPr>
        <w:t xml:space="preserve"> James Baraniuk</w:t>
      </w:r>
      <w:proofErr w:type="spellEnd"/>
      <w:r w:rsidRPr="00964FDF">
        <w:rPr>
          <w:rFonts w:ascii="&amp;quot" w:eastAsia="Times New Roman" w:hAnsi="&amp;quot" w:cs="Times New Roman"/>
          <w:color w:val="333333"/>
          <w:sz w:val="26"/>
          <w:szCs w:val="26"/>
          <w:lang w:eastAsia="en-GB"/>
        </w:rPr>
        <w:t xml:space="preserve"> claims that the Oxford Criteria for chronic fatigue syndrome (CFS) ‘grossly overestimated’ the prevalence of this disorder, stating that when applied to a nationwide survey of 6175 participants, 19.9% of females and 25.5% of males met a ‘proxy’ for the Oxford criteria [</w:t>
      </w:r>
      <w:hyperlink r:id="rId6" w:history="1">
        <w:r w:rsidRPr="00964FDF">
          <w:rPr>
            <w:rFonts w:ascii="&amp;quot" w:eastAsia="Times New Roman" w:hAnsi="&amp;quot" w:cs="Times New Roman"/>
            <w:color w:val="10147E"/>
            <w:sz w:val="26"/>
            <w:szCs w:val="26"/>
            <w:u w:val="single"/>
            <w:lang w:eastAsia="en-GB"/>
          </w:rPr>
          <w:t>2</w:t>
        </w:r>
      </w:hyperlink>
      <w:r w:rsidRPr="00964FDF">
        <w:rPr>
          <w:rFonts w:ascii="&amp;quot" w:eastAsia="Times New Roman" w:hAnsi="&amp;quot" w:cs="Times New Roman"/>
          <w:color w:val="333333"/>
          <w:shd w:val="clear" w:color="auto" w:fill="FFFFFF"/>
          <w:lang w:eastAsia="en-GB"/>
        </w:rPr>
        <w:t xml:space="preserve"> </w:t>
      </w:r>
      <w:r w:rsidR="008E6248">
        <w:rPr>
          <w:rFonts w:ascii="&amp;quot" w:eastAsia="Times New Roman" w:hAnsi="&amp;quot" w:cs="Times New Roman"/>
          <w:color w:val="333333"/>
          <w:shd w:val="clear" w:color="auto" w:fill="FFFFFF"/>
          <w:lang w:eastAsia="en-GB"/>
        </w:rPr>
        <w:t xml:space="preserve">]. </w:t>
      </w:r>
      <w:r w:rsidRPr="00964FDF">
        <w:rPr>
          <w:rFonts w:ascii="&amp;quot" w:eastAsia="Times New Roman" w:hAnsi="&amp;quot" w:cs="Times New Roman"/>
          <w:color w:val="333333"/>
          <w:sz w:val="26"/>
          <w:szCs w:val="26"/>
          <w:lang w:eastAsia="en-GB"/>
        </w:rPr>
        <w:t>This is surprising, not least because these figures more closely resemble countless studies of the prevalence of chronic fatigue on its own, albeit with gender differences mysteriously reversed [</w:t>
      </w:r>
      <w:hyperlink r:id="rId7" w:history="1">
        <w:r w:rsidRPr="00964FDF">
          <w:rPr>
            <w:rFonts w:ascii="&amp;quot" w:eastAsia="Times New Roman" w:hAnsi="&amp;quot" w:cs="Times New Roman"/>
            <w:color w:val="10147E"/>
            <w:sz w:val="26"/>
            <w:szCs w:val="26"/>
            <w:u w:val="single"/>
            <w:lang w:eastAsia="en-GB"/>
          </w:rPr>
          <w:t>3</w:t>
        </w:r>
      </w:hyperlink>
      <w:r w:rsidRPr="00964FDF">
        <w:rPr>
          <w:rFonts w:ascii="&amp;quot" w:eastAsia="Times New Roman" w:hAnsi="&amp;quot" w:cs="Times New Roman"/>
          <w:color w:val="333333"/>
          <w:sz w:val="26"/>
          <w:szCs w:val="26"/>
          <w:lang w:eastAsia="en-GB"/>
        </w:rPr>
        <w:t>].</w:t>
      </w:r>
    </w:p>
    <w:p w14:paraId="2AE10864" w14:textId="77777777" w:rsidR="00964FDF" w:rsidRPr="00964FDF" w:rsidRDefault="00964FDF" w:rsidP="00964FDF">
      <w:pPr>
        <w:spacing w:before="264" w:after="264" w:line="240" w:lineRule="auto"/>
        <w:rPr>
          <w:rFonts w:ascii="&amp;quot" w:eastAsia="Times New Roman" w:hAnsi="&amp;quot" w:cs="Times New Roman"/>
          <w:color w:val="333333"/>
          <w:sz w:val="26"/>
          <w:szCs w:val="26"/>
          <w:lang w:eastAsia="en-GB"/>
        </w:rPr>
      </w:pPr>
      <w:r w:rsidRPr="00964FDF">
        <w:rPr>
          <w:rFonts w:ascii="&amp;quot" w:eastAsia="Times New Roman" w:hAnsi="&amp;quot" w:cs="Times New Roman"/>
          <w:color w:val="333333"/>
          <w:sz w:val="26"/>
          <w:szCs w:val="26"/>
          <w:lang w:eastAsia="en-GB"/>
        </w:rPr>
        <w:t xml:space="preserve">The answer may however lie in the proxy measure chosen. Dr </w:t>
      </w:r>
      <w:proofErr w:type="spellStart"/>
      <w:r w:rsidRPr="00964FDF">
        <w:rPr>
          <w:rFonts w:ascii="&amp;quot" w:eastAsia="Times New Roman" w:hAnsi="&amp;quot" w:cs="Times New Roman"/>
          <w:color w:val="333333"/>
          <w:sz w:val="26"/>
          <w:szCs w:val="26"/>
          <w:lang w:eastAsia="en-GB"/>
        </w:rPr>
        <w:t>Baraniuk</w:t>
      </w:r>
      <w:proofErr w:type="spellEnd"/>
      <w:r w:rsidRPr="00964FDF">
        <w:rPr>
          <w:rFonts w:ascii="&amp;quot" w:eastAsia="Times New Roman" w:hAnsi="&amp;quot" w:cs="Times New Roman"/>
          <w:color w:val="333333"/>
          <w:sz w:val="26"/>
          <w:szCs w:val="26"/>
          <w:lang w:eastAsia="en-GB"/>
        </w:rPr>
        <w:t xml:space="preserve"> begins by saying that the Oxford criteria are ‘inappropriate’ because ‘they require only mild fatigue severity</w:t>
      </w:r>
      <w:proofErr w:type="gramStart"/>
      <w:r w:rsidRPr="00964FDF">
        <w:rPr>
          <w:rFonts w:ascii="&amp;quot" w:eastAsia="Times New Roman" w:hAnsi="&amp;quot" w:cs="Times New Roman"/>
          <w:color w:val="333333"/>
          <w:sz w:val="26"/>
          <w:szCs w:val="26"/>
          <w:lang w:eastAsia="en-GB"/>
        </w:rPr>
        <w:t>’, and</w:t>
      </w:r>
      <w:proofErr w:type="gramEnd"/>
      <w:r w:rsidRPr="00964FDF">
        <w:rPr>
          <w:rFonts w:ascii="&amp;quot" w:eastAsia="Times New Roman" w:hAnsi="&amp;quot" w:cs="Times New Roman"/>
          <w:color w:val="333333"/>
          <w:sz w:val="26"/>
          <w:szCs w:val="26"/>
          <w:lang w:eastAsia="en-GB"/>
        </w:rPr>
        <w:t xml:space="preserve"> goes on to define a person as fulfilling the Oxford criteria if there is ‘mild to severe symptoms of fatigue, sleep disturbance and myalgia’. In </w:t>
      </w:r>
      <w:proofErr w:type="gramStart"/>
      <w:r w:rsidRPr="00964FDF">
        <w:rPr>
          <w:rFonts w:ascii="&amp;quot" w:eastAsia="Times New Roman" w:hAnsi="&amp;quot" w:cs="Times New Roman"/>
          <w:color w:val="333333"/>
          <w:sz w:val="26"/>
          <w:szCs w:val="26"/>
          <w:lang w:eastAsia="en-GB"/>
        </w:rPr>
        <w:t>addition</w:t>
      </w:r>
      <w:proofErr w:type="gramEnd"/>
      <w:r w:rsidRPr="00964FDF">
        <w:rPr>
          <w:rFonts w:ascii="&amp;quot" w:eastAsia="Times New Roman" w:hAnsi="&amp;quot" w:cs="Times New Roman"/>
          <w:color w:val="333333"/>
          <w:sz w:val="26"/>
          <w:szCs w:val="26"/>
          <w:lang w:eastAsia="en-GB"/>
        </w:rPr>
        <w:t xml:space="preserve"> he ignores any exclusionary criteria, saying that ‘no weight was given to the presence or absence of any complaints’.</w:t>
      </w:r>
    </w:p>
    <w:p w14:paraId="160BB3C1" w14:textId="21F71757" w:rsidR="00964FDF" w:rsidRPr="00964FDF" w:rsidRDefault="00964FDF" w:rsidP="00964FDF">
      <w:pPr>
        <w:spacing w:before="264" w:after="264" w:line="240" w:lineRule="auto"/>
        <w:rPr>
          <w:rFonts w:ascii="&amp;quot" w:eastAsia="Times New Roman" w:hAnsi="&amp;quot" w:cs="Times New Roman"/>
          <w:color w:val="333333"/>
          <w:sz w:val="26"/>
          <w:szCs w:val="26"/>
          <w:lang w:eastAsia="en-GB"/>
        </w:rPr>
      </w:pPr>
      <w:r w:rsidRPr="00964FDF">
        <w:rPr>
          <w:rFonts w:ascii="&amp;quot" w:eastAsia="Times New Roman" w:hAnsi="&amp;quot" w:cs="Times New Roman"/>
          <w:color w:val="333333"/>
          <w:sz w:val="26"/>
          <w:szCs w:val="26"/>
          <w:lang w:eastAsia="en-GB"/>
        </w:rPr>
        <w:t>Unfortunately this is nothing like the actual Oxford Criteria [</w:t>
      </w:r>
      <w:hyperlink r:id="rId8" w:history="1">
        <w:r w:rsidRPr="00964FDF">
          <w:rPr>
            <w:rFonts w:ascii="&amp;quot" w:eastAsia="Times New Roman" w:hAnsi="&amp;quot" w:cs="Times New Roman"/>
            <w:color w:val="10147E"/>
            <w:sz w:val="26"/>
            <w:szCs w:val="26"/>
            <w:u w:val="single"/>
            <w:lang w:eastAsia="en-GB"/>
          </w:rPr>
          <w:t>2</w:t>
        </w:r>
      </w:hyperlink>
      <w:r w:rsidRPr="00964FDF">
        <w:rPr>
          <w:rFonts w:ascii="&amp;quot" w:eastAsia="Times New Roman" w:hAnsi="&amp;quot" w:cs="Times New Roman"/>
          <w:color w:val="333333"/>
          <w:shd w:val="clear" w:color="auto" w:fill="FFFFFF"/>
          <w:lang w:eastAsia="en-GB"/>
        </w:rPr>
        <w:t xml:space="preserve"> </w:t>
      </w:r>
      <w:r w:rsidR="008E6248">
        <w:rPr>
          <w:rFonts w:ascii="&amp;quot" w:eastAsia="Times New Roman" w:hAnsi="&amp;quot" w:cs="Times New Roman"/>
          <w:color w:val="333333"/>
          <w:shd w:val="clear" w:color="auto" w:fill="FFFFFF"/>
          <w:lang w:eastAsia="en-GB"/>
        </w:rPr>
        <w:t xml:space="preserve">] </w:t>
      </w:r>
      <w:r w:rsidRPr="00964FDF">
        <w:rPr>
          <w:rFonts w:ascii="&amp;quot" w:eastAsia="Times New Roman" w:hAnsi="&amp;quot" w:cs="Times New Roman"/>
          <w:color w:val="333333"/>
          <w:sz w:val="26"/>
          <w:szCs w:val="26"/>
          <w:lang w:eastAsia="en-GB"/>
        </w:rPr>
        <w:t xml:space="preserve">Fatigue must be ‘severe, disabling and affects physical and mental function’. Mild or moderate fatigue is clearly excluded. It insists that fatigue must be both mental and physical – there must be cognitive symptoms as well as physical symptoms of fatigue. There is also a </w:t>
      </w:r>
      <w:proofErr w:type="gramStart"/>
      <w:r w:rsidRPr="00964FDF">
        <w:rPr>
          <w:rFonts w:ascii="&amp;quot" w:eastAsia="Times New Roman" w:hAnsi="&amp;quot" w:cs="Times New Roman"/>
          <w:color w:val="333333"/>
          <w:sz w:val="26"/>
          <w:szCs w:val="26"/>
          <w:lang w:eastAsia="en-GB"/>
        </w:rPr>
        <w:t>duration criteria</w:t>
      </w:r>
      <w:proofErr w:type="gramEnd"/>
      <w:r w:rsidRPr="00964FDF">
        <w:rPr>
          <w:rFonts w:ascii="&amp;quot" w:eastAsia="Times New Roman" w:hAnsi="&amp;quot" w:cs="Times New Roman"/>
          <w:color w:val="333333"/>
          <w:sz w:val="26"/>
          <w:szCs w:val="26"/>
          <w:lang w:eastAsia="en-GB"/>
        </w:rPr>
        <w:t xml:space="preserve"> – ‘the symptom of fatigue should have been present for a minimum of six months during which it is present for more than 50% of the time’. Far from ignoring medical conditions, the criteria explicitly exclude any ‘established medical conditions known to produce chronic fatigue’. </w:t>
      </w:r>
      <w:proofErr w:type="gramStart"/>
      <w:r w:rsidRPr="00964FDF">
        <w:rPr>
          <w:rFonts w:ascii="&amp;quot" w:eastAsia="Times New Roman" w:hAnsi="&amp;quot" w:cs="Times New Roman"/>
          <w:color w:val="333333"/>
          <w:sz w:val="26"/>
          <w:szCs w:val="26"/>
          <w:lang w:eastAsia="en-GB"/>
        </w:rPr>
        <w:t>So</w:t>
      </w:r>
      <w:proofErr w:type="gramEnd"/>
      <w:r w:rsidRPr="00964FDF">
        <w:rPr>
          <w:rFonts w:ascii="&amp;quot" w:eastAsia="Times New Roman" w:hAnsi="&amp;quot" w:cs="Times New Roman"/>
          <w:color w:val="333333"/>
          <w:sz w:val="26"/>
          <w:szCs w:val="26"/>
          <w:lang w:eastAsia="en-GB"/>
        </w:rPr>
        <w:t xml:space="preserve"> it is clear that any known medical cause of fatigue is incompatible with the criteria. </w:t>
      </w:r>
      <w:proofErr w:type="spellStart"/>
      <w:r w:rsidRPr="00964FDF">
        <w:rPr>
          <w:rFonts w:ascii="&amp;quot" w:eastAsia="Times New Roman" w:hAnsi="&amp;quot" w:cs="Times New Roman"/>
          <w:color w:val="333333"/>
          <w:sz w:val="26"/>
          <w:szCs w:val="26"/>
          <w:lang w:eastAsia="en-GB"/>
        </w:rPr>
        <w:t>Baraniuk</w:t>
      </w:r>
      <w:proofErr w:type="spellEnd"/>
      <w:r w:rsidRPr="00964FDF">
        <w:rPr>
          <w:rFonts w:ascii="&amp;quot" w:eastAsia="Times New Roman" w:hAnsi="&amp;quot" w:cs="Times New Roman"/>
          <w:color w:val="333333"/>
          <w:sz w:val="26"/>
          <w:szCs w:val="26"/>
          <w:lang w:eastAsia="en-GB"/>
        </w:rPr>
        <w:t xml:space="preserve"> acknowledges this by noting that in his data the prevalence of Oxford criteria CFS declines considerably when medical exclusion criteria are used, but then chooses not to do this, even though this is mandated by the criteria. It is difficult to reconcile the actual Oxford criteria with </w:t>
      </w:r>
      <w:proofErr w:type="spellStart"/>
      <w:r w:rsidRPr="00964FDF">
        <w:rPr>
          <w:rFonts w:ascii="&amp;quot" w:eastAsia="Times New Roman" w:hAnsi="&amp;quot" w:cs="Times New Roman"/>
          <w:color w:val="333333"/>
          <w:sz w:val="26"/>
          <w:szCs w:val="26"/>
          <w:lang w:eastAsia="en-GB"/>
        </w:rPr>
        <w:t>Baraniuk’s</w:t>
      </w:r>
      <w:proofErr w:type="spellEnd"/>
      <w:r w:rsidRPr="00964FDF">
        <w:rPr>
          <w:rFonts w:ascii="&amp;quot" w:eastAsia="Times New Roman" w:hAnsi="&amp;quot" w:cs="Times New Roman"/>
          <w:color w:val="333333"/>
          <w:sz w:val="26"/>
          <w:szCs w:val="26"/>
          <w:lang w:eastAsia="en-GB"/>
        </w:rPr>
        <w:t xml:space="preserve"> claim that they partly select a ‘cross section of the healthy population’.</w:t>
      </w:r>
    </w:p>
    <w:p w14:paraId="59FBBB45" w14:textId="37DBD367" w:rsidR="00964FDF" w:rsidRPr="00964FDF" w:rsidRDefault="00964FDF" w:rsidP="00964FDF">
      <w:pPr>
        <w:spacing w:before="264" w:after="264" w:line="240" w:lineRule="auto"/>
        <w:rPr>
          <w:rFonts w:ascii="&amp;quot" w:eastAsia="Times New Roman" w:hAnsi="&amp;quot" w:cs="Times New Roman"/>
          <w:color w:val="333333"/>
          <w:sz w:val="26"/>
          <w:szCs w:val="26"/>
          <w:lang w:eastAsia="en-GB"/>
        </w:rPr>
      </w:pPr>
      <w:r w:rsidRPr="00964FDF">
        <w:rPr>
          <w:rFonts w:ascii="&amp;quot" w:eastAsia="Times New Roman" w:hAnsi="&amp;quot" w:cs="Times New Roman"/>
          <w:color w:val="333333"/>
          <w:sz w:val="26"/>
          <w:szCs w:val="26"/>
          <w:lang w:eastAsia="en-GB"/>
        </w:rPr>
        <w:t>Not surprisingly, w</w:t>
      </w:r>
      <w:bookmarkStart w:id="0" w:name="_GoBack"/>
      <w:bookmarkEnd w:id="0"/>
      <w:r w:rsidRPr="00964FDF">
        <w:rPr>
          <w:rFonts w:ascii="&amp;quot" w:eastAsia="Times New Roman" w:hAnsi="&amp;quot" w:cs="Times New Roman"/>
          <w:color w:val="333333"/>
          <w:sz w:val="26"/>
          <w:szCs w:val="26"/>
          <w:lang w:eastAsia="en-GB"/>
        </w:rPr>
        <w:t xml:space="preserve">hen the Oxford Criteria are applied as per definition, the prevalence of CFS is an order of magnitude lower than that found by </w:t>
      </w:r>
      <w:proofErr w:type="spellStart"/>
      <w:r w:rsidRPr="00964FDF">
        <w:rPr>
          <w:rFonts w:ascii="&amp;quot" w:eastAsia="Times New Roman" w:hAnsi="&amp;quot" w:cs="Times New Roman"/>
          <w:color w:val="333333"/>
          <w:sz w:val="26"/>
          <w:szCs w:val="26"/>
          <w:lang w:eastAsia="en-GB"/>
        </w:rPr>
        <w:t>Baraniuk</w:t>
      </w:r>
      <w:proofErr w:type="spellEnd"/>
      <w:r w:rsidRPr="00964FDF">
        <w:rPr>
          <w:rFonts w:ascii="&amp;quot" w:eastAsia="Times New Roman" w:hAnsi="&amp;quot" w:cs="Times New Roman"/>
          <w:color w:val="333333"/>
          <w:sz w:val="26"/>
          <w:szCs w:val="26"/>
          <w:lang w:eastAsia="en-GB"/>
        </w:rPr>
        <w:t xml:space="preserve">. A </w:t>
      </w:r>
      <w:r w:rsidRPr="00964FDF">
        <w:rPr>
          <w:rFonts w:ascii="&amp;quot" w:eastAsia="Times New Roman" w:hAnsi="&amp;quot" w:cs="Times New Roman"/>
          <w:color w:val="333333"/>
          <w:sz w:val="26"/>
          <w:szCs w:val="26"/>
          <w:lang w:eastAsia="en-GB"/>
        </w:rPr>
        <w:lastRenderedPageBreak/>
        <w:t>prospective study in UK primary care [</w:t>
      </w:r>
      <w:hyperlink r:id="rId9" w:history="1">
        <w:r w:rsidRPr="00964FDF">
          <w:rPr>
            <w:rFonts w:ascii="&amp;quot" w:eastAsia="Times New Roman" w:hAnsi="&amp;quot" w:cs="Times New Roman"/>
            <w:color w:val="10147E"/>
            <w:sz w:val="26"/>
            <w:szCs w:val="26"/>
            <w:u w:val="single"/>
            <w:lang w:eastAsia="en-GB"/>
          </w:rPr>
          <w:t>4</w:t>
        </w:r>
      </w:hyperlink>
      <w:r w:rsidRPr="00964FDF">
        <w:rPr>
          <w:rFonts w:ascii="&amp;quot" w:eastAsia="Times New Roman" w:hAnsi="&amp;quot" w:cs="Times New Roman"/>
          <w:color w:val="333333"/>
          <w:shd w:val="clear" w:color="auto" w:fill="FFFFFF"/>
          <w:lang w:eastAsia="en-GB"/>
        </w:rPr>
        <w:t xml:space="preserve"> </w:t>
      </w:r>
      <w:r w:rsidR="008E6248">
        <w:rPr>
          <w:rFonts w:ascii="&amp;quot" w:eastAsia="Times New Roman" w:hAnsi="&amp;quot" w:cs="Times New Roman"/>
          <w:color w:val="333333"/>
          <w:shd w:val="clear" w:color="auto" w:fill="FFFFFF"/>
          <w:lang w:eastAsia="en-GB"/>
        </w:rPr>
        <w:t>]</w:t>
      </w:r>
      <w:r w:rsidRPr="00964FDF">
        <w:rPr>
          <w:rFonts w:ascii="&amp;quot" w:eastAsia="Times New Roman" w:hAnsi="&amp;quot" w:cs="Times New Roman"/>
          <w:color w:val="333333"/>
          <w:sz w:val="26"/>
          <w:szCs w:val="26"/>
          <w:lang w:eastAsia="en-GB"/>
        </w:rPr>
        <w:t xml:space="preserve">, not cited in the current report, used standardized medical and psychological direct assessments, a measure designed to capture the different extant definitions of CFS at the time, including both Oxford and CDC, a check list of other symptoms and a measure of functional impairment. The results were indeed very different to those reported by </w:t>
      </w:r>
      <w:proofErr w:type="spellStart"/>
      <w:r w:rsidRPr="00964FDF">
        <w:rPr>
          <w:rFonts w:ascii="&amp;quot" w:eastAsia="Times New Roman" w:hAnsi="&amp;quot" w:cs="Times New Roman"/>
          <w:color w:val="333333"/>
          <w:sz w:val="26"/>
          <w:szCs w:val="26"/>
          <w:lang w:eastAsia="en-GB"/>
        </w:rPr>
        <w:t>Baraniuk</w:t>
      </w:r>
      <w:proofErr w:type="spellEnd"/>
      <w:r w:rsidRPr="00964FDF">
        <w:rPr>
          <w:rFonts w:ascii="&amp;quot" w:eastAsia="Times New Roman" w:hAnsi="&amp;quot" w:cs="Times New Roman"/>
          <w:color w:val="333333"/>
          <w:sz w:val="26"/>
          <w:szCs w:val="26"/>
          <w:lang w:eastAsia="en-GB"/>
        </w:rPr>
        <w:t xml:space="preserve">, and in keeping with the literature since. The </w:t>
      </w:r>
      <w:proofErr w:type="spellStart"/>
      <w:r w:rsidRPr="00964FDF">
        <w:rPr>
          <w:rFonts w:ascii="&amp;quot" w:eastAsia="Times New Roman" w:hAnsi="&amp;quot" w:cs="Times New Roman"/>
          <w:color w:val="333333"/>
          <w:sz w:val="26"/>
          <w:szCs w:val="26"/>
          <w:lang w:eastAsia="en-GB"/>
        </w:rPr>
        <w:t>prevalences</w:t>
      </w:r>
      <w:proofErr w:type="spellEnd"/>
      <w:r w:rsidRPr="00964FDF">
        <w:rPr>
          <w:rFonts w:ascii="&amp;quot" w:eastAsia="Times New Roman" w:hAnsi="&amp;quot" w:cs="Times New Roman"/>
          <w:color w:val="333333"/>
          <w:sz w:val="26"/>
          <w:szCs w:val="26"/>
          <w:lang w:eastAsia="en-GB"/>
        </w:rPr>
        <w:t xml:space="preserve"> were also calculated with and without psychological co morbidity.</w:t>
      </w:r>
    </w:p>
    <w:p w14:paraId="294C1CD6" w14:textId="2349F692" w:rsidR="00964FDF" w:rsidRPr="00964FDF" w:rsidRDefault="00964FDF" w:rsidP="00964FDF">
      <w:pPr>
        <w:spacing w:after="0" w:line="240" w:lineRule="auto"/>
        <w:rPr>
          <w:rFonts w:ascii="&amp;quot" w:eastAsia="Times New Roman" w:hAnsi="&amp;quot" w:cs="Times New Roman"/>
          <w:color w:val="333333"/>
          <w:sz w:val="26"/>
          <w:szCs w:val="26"/>
          <w:lang w:eastAsia="en-GB"/>
        </w:rPr>
      </w:pPr>
      <w:r w:rsidRPr="00964FDF">
        <w:rPr>
          <w:rFonts w:ascii="&amp;quot" w:eastAsia="Times New Roman" w:hAnsi="&amp;quot" w:cs="Times New Roman"/>
          <w:noProof/>
          <w:color w:val="10147E"/>
          <w:sz w:val="26"/>
          <w:szCs w:val="26"/>
          <w:lang w:eastAsia="en-GB"/>
        </w:rPr>
        <w:drawing>
          <wp:inline distT="0" distB="0" distL="0" distR="0" wp14:anchorId="4C12C4F6" wp14:editId="3E0D678A">
            <wp:extent cx="4762500" cy="2895600"/>
            <wp:effectExtent l="0" t="0" r="0" b="0"/>
            <wp:docPr id="10" name="Picture 10" descr="https://www.tandfonline.com/na101/home/literatum/publisher/tandf/journals/content/rftg20/2018/rftg20.v006.i01/21641846.2017.1364148/20180119/images/medium/rftg_a_1364148_uf0001_b.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0001image" descr="https://www.tandfonline.com/na101/home/literatum/publisher/tandf/journals/content/rftg20/2018/rftg20.v006.i01/21641846.2017.1364148/20180119/images/medium/rftg_a_1364148_uf0001_b.gif">
                      <a:hlinkClick r:id="rId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895600"/>
                    </a:xfrm>
                    <a:prstGeom prst="rect">
                      <a:avLst/>
                    </a:prstGeom>
                    <a:noFill/>
                    <a:ln>
                      <a:noFill/>
                    </a:ln>
                  </pic:spPr>
                </pic:pic>
              </a:graphicData>
            </a:graphic>
          </wp:inline>
        </w:drawing>
      </w:r>
    </w:p>
    <w:p w14:paraId="67FAFE41" w14:textId="77777777" w:rsidR="00964FDF" w:rsidRPr="00964FDF" w:rsidRDefault="00964FDF" w:rsidP="00964FDF">
      <w:pPr>
        <w:spacing w:line="240" w:lineRule="auto"/>
        <w:rPr>
          <w:rFonts w:ascii="&amp;quot" w:eastAsia="Times New Roman" w:hAnsi="&amp;quot" w:cs="Times New Roman"/>
          <w:color w:val="333333"/>
          <w:sz w:val="26"/>
          <w:szCs w:val="26"/>
          <w:lang w:eastAsia="en-GB"/>
        </w:rPr>
      </w:pPr>
      <w:hyperlink r:id="rId11" w:history="1">
        <w:r w:rsidRPr="00964FDF">
          <w:rPr>
            <w:rFonts w:ascii="&amp;quot" w:eastAsia="Times New Roman" w:hAnsi="&amp;quot" w:cs="Times New Roman"/>
            <w:color w:val="FFFFFF"/>
            <w:sz w:val="18"/>
            <w:szCs w:val="18"/>
            <w:u w:val="single"/>
            <w:bdr w:val="none" w:sz="0" w:space="0" w:color="auto" w:frame="1"/>
            <w:shd w:val="clear" w:color="auto" w:fill="10147E"/>
            <w:lang w:eastAsia="en-GB"/>
          </w:rPr>
          <w:t>Display full size</w:t>
        </w:r>
      </w:hyperlink>
    </w:p>
    <w:p w14:paraId="22F8EC84" w14:textId="77777777" w:rsidR="00964FDF" w:rsidRPr="00964FDF" w:rsidRDefault="00964FDF" w:rsidP="00964FDF">
      <w:pPr>
        <w:spacing w:before="264" w:line="240" w:lineRule="auto"/>
        <w:rPr>
          <w:rFonts w:ascii="&amp;quot" w:eastAsia="Times New Roman" w:hAnsi="&amp;quot" w:cs="Times New Roman"/>
          <w:color w:val="333333"/>
          <w:sz w:val="26"/>
          <w:szCs w:val="26"/>
          <w:lang w:eastAsia="en-GB"/>
        </w:rPr>
      </w:pPr>
      <w:r w:rsidRPr="00964FDF">
        <w:rPr>
          <w:rFonts w:ascii="&amp;quot" w:eastAsia="Times New Roman" w:hAnsi="&amp;quot" w:cs="Times New Roman"/>
          <w:color w:val="333333"/>
          <w:sz w:val="26"/>
          <w:szCs w:val="26"/>
          <w:lang w:eastAsia="en-GB"/>
        </w:rPr>
        <w:t xml:space="preserve">We would respectfully submit that </w:t>
      </w:r>
      <w:proofErr w:type="spellStart"/>
      <w:r w:rsidRPr="00964FDF">
        <w:rPr>
          <w:rFonts w:ascii="&amp;quot" w:eastAsia="Times New Roman" w:hAnsi="&amp;quot" w:cs="Times New Roman"/>
          <w:color w:val="333333"/>
          <w:sz w:val="26"/>
          <w:szCs w:val="26"/>
          <w:lang w:eastAsia="en-GB"/>
        </w:rPr>
        <w:t>Baraniuk’s</w:t>
      </w:r>
      <w:proofErr w:type="spellEnd"/>
      <w:r w:rsidRPr="00964FDF">
        <w:rPr>
          <w:rFonts w:ascii="&amp;quot" w:eastAsia="Times New Roman" w:hAnsi="&amp;quot" w:cs="Times New Roman"/>
          <w:color w:val="333333"/>
          <w:sz w:val="26"/>
          <w:szCs w:val="26"/>
          <w:lang w:eastAsia="en-GB"/>
        </w:rPr>
        <w:t xml:space="preserve"> paper has added to the already very large literature on the prevalence of the symptom of fatigue, raises a curious anomaly in the gender distribution which remains unexplained, but says little about the Oxford criteria for CFS.</w:t>
      </w:r>
    </w:p>
    <w:p w14:paraId="429642D1" w14:textId="77777777" w:rsidR="00964FDF" w:rsidRPr="00964FDF" w:rsidRDefault="00964FDF" w:rsidP="00964FDF">
      <w:pPr>
        <w:spacing w:after="480" w:line="437" w:lineRule="atLeast"/>
        <w:outlineLvl w:val="1"/>
        <w:rPr>
          <w:rFonts w:ascii="&amp;quot" w:eastAsia="Times New Roman" w:hAnsi="&amp;quot" w:cs="Times New Roman"/>
          <w:b/>
          <w:bCs/>
          <w:color w:val="333333"/>
          <w:sz w:val="34"/>
          <w:szCs w:val="34"/>
          <w:lang w:eastAsia="en-GB"/>
        </w:rPr>
      </w:pPr>
      <w:r w:rsidRPr="00964FDF">
        <w:rPr>
          <w:rFonts w:ascii="&amp;quot" w:eastAsia="Times New Roman" w:hAnsi="&amp;quot" w:cs="Times New Roman"/>
          <w:b/>
          <w:bCs/>
          <w:color w:val="333333"/>
          <w:sz w:val="34"/>
          <w:szCs w:val="34"/>
          <w:lang w:eastAsia="en-GB"/>
        </w:rPr>
        <w:t>Disclosure statement</w:t>
      </w:r>
    </w:p>
    <w:p w14:paraId="198E34FA" w14:textId="77777777" w:rsidR="00964FDF" w:rsidRPr="00964FDF" w:rsidRDefault="00964FDF" w:rsidP="00964FDF">
      <w:pPr>
        <w:spacing w:before="264" w:line="240" w:lineRule="auto"/>
        <w:rPr>
          <w:rFonts w:ascii="&amp;quot" w:eastAsia="Times New Roman" w:hAnsi="&amp;quot" w:cs="Times New Roman"/>
          <w:color w:val="333333"/>
          <w:sz w:val="26"/>
          <w:szCs w:val="26"/>
          <w:lang w:eastAsia="en-GB"/>
        </w:rPr>
      </w:pPr>
      <w:r w:rsidRPr="00964FDF">
        <w:rPr>
          <w:rFonts w:ascii="&amp;quot" w:eastAsia="Times New Roman" w:hAnsi="&amp;quot" w:cs="Times New Roman"/>
          <w:color w:val="333333"/>
          <w:sz w:val="26"/>
          <w:szCs w:val="26"/>
          <w:lang w:eastAsia="en-GB"/>
        </w:rPr>
        <w:t>No potential conflict of interest was reported by the authors.</w:t>
      </w:r>
    </w:p>
    <w:p w14:paraId="7F93279E" w14:textId="77777777" w:rsidR="00964FDF" w:rsidRPr="00964FDF" w:rsidRDefault="00964FDF" w:rsidP="00964FDF">
      <w:pPr>
        <w:spacing w:before="600" w:after="279" w:line="540" w:lineRule="atLeast"/>
        <w:outlineLvl w:val="1"/>
        <w:rPr>
          <w:rFonts w:ascii="&amp;quot" w:eastAsia="Times New Roman" w:hAnsi="&amp;quot" w:cs="Times New Roman"/>
          <w:b/>
          <w:bCs/>
          <w:color w:val="333333"/>
          <w:sz w:val="34"/>
          <w:szCs w:val="34"/>
          <w:lang w:eastAsia="en-GB"/>
        </w:rPr>
      </w:pPr>
      <w:r w:rsidRPr="00964FDF">
        <w:rPr>
          <w:rFonts w:ascii="&amp;quot" w:eastAsia="Times New Roman" w:hAnsi="&amp;quot" w:cs="Times New Roman"/>
          <w:b/>
          <w:bCs/>
          <w:color w:val="333333"/>
          <w:sz w:val="34"/>
          <w:szCs w:val="34"/>
          <w:lang w:eastAsia="en-GB"/>
        </w:rPr>
        <w:t>References</w:t>
      </w:r>
    </w:p>
    <w:p w14:paraId="4B63DF92" w14:textId="77777777" w:rsidR="00964FDF" w:rsidRPr="00964FDF" w:rsidRDefault="00964FDF" w:rsidP="00964FDF">
      <w:pPr>
        <w:numPr>
          <w:ilvl w:val="0"/>
          <w:numId w:val="2"/>
        </w:numPr>
        <w:spacing w:after="480" w:line="240" w:lineRule="auto"/>
        <w:ind w:left="300"/>
        <w:rPr>
          <w:rFonts w:ascii="&amp;quot" w:eastAsia="Times New Roman" w:hAnsi="&amp;quot" w:cs="Times New Roman"/>
          <w:color w:val="333333"/>
          <w:sz w:val="24"/>
          <w:szCs w:val="24"/>
          <w:lang w:eastAsia="en-GB"/>
        </w:rPr>
      </w:pPr>
      <w:proofErr w:type="spellStart"/>
      <w:r w:rsidRPr="00964FDF">
        <w:rPr>
          <w:rFonts w:ascii="&amp;quot" w:eastAsia="Times New Roman" w:hAnsi="&amp;quot" w:cs="Times New Roman"/>
          <w:color w:val="333333"/>
          <w:sz w:val="24"/>
          <w:szCs w:val="24"/>
          <w:lang w:eastAsia="en-GB"/>
        </w:rPr>
        <w:t>Baraniuk</w:t>
      </w:r>
      <w:proofErr w:type="spellEnd"/>
      <w:r w:rsidRPr="00964FDF">
        <w:rPr>
          <w:rFonts w:ascii="&amp;quot" w:eastAsia="Times New Roman" w:hAnsi="&amp;quot" w:cs="Times New Roman"/>
          <w:color w:val="333333"/>
          <w:sz w:val="24"/>
          <w:szCs w:val="24"/>
          <w:lang w:eastAsia="en-GB"/>
        </w:rPr>
        <w:t xml:space="preserve"> J. Chronic fatigue syndrome prevalence is grossly overestimated using Oxford criteria compared to </w:t>
      </w:r>
      <w:proofErr w:type="spellStart"/>
      <w:r w:rsidRPr="00964FDF">
        <w:rPr>
          <w:rFonts w:ascii="&amp;quot" w:eastAsia="Times New Roman" w:hAnsi="&amp;quot" w:cs="Times New Roman"/>
          <w:color w:val="333333"/>
          <w:sz w:val="24"/>
          <w:szCs w:val="24"/>
          <w:lang w:eastAsia="en-GB"/>
        </w:rPr>
        <w:t>centers</w:t>
      </w:r>
      <w:proofErr w:type="spellEnd"/>
      <w:r w:rsidRPr="00964FDF">
        <w:rPr>
          <w:rFonts w:ascii="&amp;quot" w:eastAsia="Times New Roman" w:hAnsi="&amp;quot" w:cs="Times New Roman"/>
          <w:color w:val="333333"/>
          <w:sz w:val="24"/>
          <w:szCs w:val="24"/>
          <w:lang w:eastAsia="en-GB"/>
        </w:rPr>
        <w:t xml:space="preserve"> for disease control (Fukuda) criteria in a U.S. population study. Fatigue Biomed Health </w:t>
      </w:r>
      <w:proofErr w:type="spellStart"/>
      <w:r w:rsidRPr="00964FDF">
        <w:rPr>
          <w:rFonts w:ascii="&amp;quot" w:eastAsia="Times New Roman" w:hAnsi="&amp;quot" w:cs="Times New Roman"/>
          <w:color w:val="333333"/>
          <w:sz w:val="24"/>
          <w:szCs w:val="24"/>
          <w:lang w:eastAsia="en-GB"/>
        </w:rPr>
        <w:t>Behav</w:t>
      </w:r>
      <w:proofErr w:type="spellEnd"/>
      <w:r w:rsidRPr="00964FDF">
        <w:rPr>
          <w:rFonts w:ascii="&amp;quot" w:eastAsia="Times New Roman" w:hAnsi="&amp;quot" w:cs="Times New Roman"/>
          <w:color w:val="333333"/>
          <w:sz w:val="24"/>
          <w:szCs w:val="24"/>
          <w:lang w:eastAsia="en-GB"/>
        </w:rPr>
        <w:t xml:space="preserve">. Available from: </w:t>
      </w:r>
      <w:hyperlink r:id="rId12" w:tgtFrame="_blank" w:history="1">
        <w:r w:rsidRPr="00964FDF">
          <w:rPr>
            <w:rFonts w:ascii="&amp;quot" w:eastAsia="Times New Roman" w:hAnsi="&amp;quot" w:cs="Times New Roman"/>
            <w:color w:val="10147E"/>
            <w:sz w:val="24"/>
            <w:szCs w:val="24"/>
            <w:u w:val="single"/>
            <w:lang w:eastAsia="en-GB"/>
          </w:rPr>
          <w:t>http://www.tandfonline.com/doi/full/10.1080/21641846.2017.1353578</w:t>
        </w:r>
      </w:hyperlink>
    </w:p>
    <w:p w14:paraId="11AC57BE" w14:textId="77777777" w:rsidR="00964FDF" w:rsidRPr="00964FDF" w:rsidRDefault="00964FDF" w:rsidP="00964FDF">
      <w:pPr>
        <w:numPr>
          <w:ilvl w:val="0"/>
          <w:numId w:val="2"/>
        </w:numPr>
        <w:spacing w:after="480" w:line="240" w:lineRule="auto"/>
        <w:ind w:left="300"/>
        <w:rPr>
          <w:rFonts w:ascii="&amp;quot" w:eastAsia="Times New Roman" w:hAnsi="&amp;quot" w:cs="Times New Roman"/>
          <w:color w:val="333333"/>
          <w:sz w:val="24"/>
          <w:szCs w:val="24"/>
          <w:lang w:eastAsia="en-GB"/>
        </w:rPr>
      </w:pPr>
      <w:r w:rsidRPr="00964FDF">
        <w:rPr>
          <w:rFonts w:ascii="&amp;quot" w:eastAsia="Times New Roman" w:hAnsi="&amp;quot" w:cs="Times New Roman"/>
          <w:color w:val="333333"/>
          <w:sz w:val="24"/>
          <w:szCs w:val="24"/>
          <w:lang w:eastAsia="en-GB"/>
        </w:rPr>
        <w:t xml:space="preserve">Sharpe MC, Archard LC, </w:t>
      </w:r>
      <w:proofErr w:type="spellStart"/>
      <w:r w:rsidRPr="00964FDF">
        <w:rPr>
          <w:rFonts w:ascii="&amp;quot" w:eastAsia="Times New Roman" w:hAnsi="&amp;quot" w:cs="Times New Roman"/>
          <w:color w:val="333333"/>
          <w:sz w:val="24"/>
          <w:szCs w:val="24"/>
          <w:lang w:eastAsia="en-GB"/>
        </w:rPr>
        <w:t>Banatavala</w:t>
      </w:r>
      <w:proofErr w:type="spellEnd"/>
      <w:r w:rsidRPr="00964FDF">
        <w:rPr>
          <w:rFonts w:ascii="&amp;quot" w:eastAsia="Times New Roman" w:hAnsi="&amp;quot" w:cs="Times New Roman"/>
          <w:color w:val="333333"/>
          <w:sz w:val="24"/>
          <w:szCs w:val="24"/>
          <w:lang w:eastAsia="en-GB"/>
        </w:rPr>
        <w:t xml:space="preserve"> JE, et al. Chronic fatigue syndrome: guidelines for research. J Royal Soc Med. </w:t>
      </w:r>
      <w:proofErr w:type="gramStart"/>
      <w:r w:rsidRPr="00964FDF">
        <w:rPr>
          <w:rFonts w:ascii="&amp;quot" w:eastAsia="Times New Roman" w:hAnsi="&amp;quot" w:cs="Times New Roman"/>
          <w:color w:val="333333"/>
          <w:sz w:val="24"/>
          <w:szCs w:val="24"/>
          <w:lang w:eastAsia="en-GB"/>
        </w:rPr>
        <w:t>1991;84:118</w:t>
      </w:r>
      <w:proofErr w:type="gramEnd"/>
      <w:r w:rsidRPr="00964FDF">
        <w:rPr>
          <w:rFonts w:ascii="&amp;quot" w:eastAsia="Times New Roman" w:hAnsi="&amp;quot" w:cs="Times New Roman"/>
          <w:color w:val="333333"/>
          <w:sz w:val="24"/>
          <w:szCs w:val="24"/>
          <w:lang w:eastAsia="en-GB"/>
        </w:rPr>
        <w:t xml:space="preserve">–121. </w:t>
      </w:r>
      <w:proofErr w:type="spellStart"/>
      <w:r w:rsidRPr="00964FDF">
        <w:rPr>
          <w:rFonts w:ascii="&amp;quot" w:eastAsia="Times New Roman" w:hAnsi="&amp;quot" w:cs="Times New Roman"/>
          <w:color w:val="333333"/>
          <w:sz w:val="24"/>
          <w:szCs w:val="24"/>
          <w:lang w:eastAsia="en-GB"/>
        </w:rPr>
        <w:t>doi</w:t>
      </w:r>
      <w:proofErr w:type="spellEnd"/>
      <w:r w:rsidRPr="00964FDF">
        <w:rPr>
          <w:rFonts w:ascii="&amp;quot" w:eastAsia="Times New Roman" w:hAnsi="&amp;quot" w:cs="Times New Roman"/>
          <w:color w:val="333333"/>
          <w:sz w:val="24"/>
          <w:szCs w:val="24"/>
          <w:lang w:eastAsia="en-GB"/>
        </w:rPr>
        <w:t>: 10.1177/014107689108400123</w:t>
      </w:r>
    </w:p>
    <w:p w14:paraId="5971D015" w14:textId="77777777" w:rsidR="00964FDF" w:rsidRPr="00964FDF" w:rsidRDefault="00964FDF" w:rsidP="00964FDF">
      <w:pPr>
        <w:numPr>
          <w:ilvl w:val="0"/>
          <w:numId w:val="2"/>
        </w:numPr>
        <w:spacing w:after="480" w:line="240" w:lineRule="auto"/>
        <w:ind w:left="300"/>
        <w:rPr>
          <w:rFonts w:ascii="&amp;quot" w:eastAsia="Times New Roman" w:hAnsi="&amp;quot" w:cs="Times New Roman"/>
          <w:color w:val="333333"/>
          <w:sz w:val="24"/>
          <w:szCs w:val="24"/>
          <w:lang w:eastAsia="en-GB"/>
        </w:rPr>
      </w:pPr>
      <w:r w:rsidRPr="00964FDF">
        <w:rPr>
          <w:rFonts w:ascii="&amp;quot" w:eastAsia="Times New Roman" w:hAnsi="&amp;quot" w:cs="Times New Roman"/>
          <w:color w:val="333333"/>
          <w:sz w:val="24"/>
          <w:szCs w:val="24"/>
          <w:lang w:eastAsia="en-GB"/>
        </w:rPr>
        <w:lastRenderedPageBreak/>
        <w:t xml:space="preserve">Wessely S. The epidemiology of chronic fatigue syndrome. </w:t>
      </w:r>
      <w:proofErr w:type="spellStart"/>
      <w:r w:rsidRPr="00964FDF">
        <w:rPr>
          <w:rFonts w:ascii="&amp;quot" w:eastAsia="Times New Roman" w:hAnsi="&amp;quot" w:cs="Times New Roman"/>
          <w:color w:val="333333"/>
          <w:sz w:val="24"/>
          <w:szCs w:val="24"/>
          <w:lang w:eastAsia="en-GB"/>
        </w:rPr>
        <w:t>Epidemiol</w:t>
      </w:r>
      <w:proofErr w:type="spellEnd"/>
      <w:r w:rsidRPr="00964FDF">
        <w:rPr>
          <w:rFonts w:ascii="&amp;quot" w:eastAsia="Times New Roman" w:hAnsi="&amp;quot" w:cs="Times New Roman"/>
          <w:color w:val="333333"/>
          <w:sz w:val="24"/>
          <w:szCs w:val="24"/>
          <w:lang w:eastAsia="en-GB"/>
        </w:rPr>
        <w:t xml:space="preserve"> Rev. </w:t>
      </w:r>
      <w:proofErr w:type="gramStart"/>
      <w:r w:rsidRPr="00964FDF">
        <w:rPr>
          <w:rFonts w:ascii="&amp;quot" w:eastAsia="Times New Roman" w:hAnsi="&amp;quot" w:cs="Times New Roman"/>
          <w:color w:val="333333"/>
          <w:sz w:val="24"/>
          <w:szCs w:val="24"/>
          <w:lang w:eastAsia="en-GB"/>
        </w:rPr>
        <w:t>1995;17:139</w:t>
      </w:r>
      <w:proofErr w:type="gramEnd"/>
      <w:r w:rsidRPr="00964FDF">
        <w:rPr>
          <w:rFonts w:ascii="&amp;quot" w:eastAsia="Times New Roman" w:hAnsi="&amp;quot" w:cs="Times New Roman"/>
          <w:color w:val="333333"/>
          <w:sz w:val="24"/>
          <w:szCs w:val="24"/>
          <w:lang w:eastAsia="en-GB"/>
        </w:rPr>
        <w:t xml:space="preserve">–151. </w:t>
      </w:r>
      <w:proofErr w:type="spellStart"/>
      <w:r w:rsidRPr="00964FDF">
        <w:rPr>
          <w:rFonts w:ascii="&amp;quot" w:eastAsia="Times New Roman" w:hAnsi="&amp;quot" w:cs="Times New Roman"/>
          <w:color w:val="333333"/>
          <w:sz w:val="24"/>
          <w:szCs w:val="24"/>
          <w:lang w:eastAsia="en-GB"/>
        </w:rPr>
        <w:t>doi</w:t>
      </w:r>
      <w:proofErr w:type="spellEnd"/>
      <w:r w:rsidRPr="00964FDF">
        <w:rPr>
          <w:rFonts w:ascii="&amp;quot" w:eastAsia="Times New Roman" w:hAnsi="&amp;quot" w:cs="Times New Roman"/>
          <w:color w:val="333333"/>
          <w:sz w:val="24"/>
          <w:szCs w:val="24"/>
          <w:lang w:eastAsia="en-GB"/>
        </w:rPr>
        <w:t>: 10.1093/oxfordjournals.epirev.a036170</w:t>
      </w:r>
    </w:p>
    <w:p w14:paraId="67E94F69" w14:textId="77777777" w:rsidR="00964FDF" w:rsidRPr="00964FDF" w:rsidRDefault="00964FDF" w:rsidP="00964FDF">
      <w:pPr>
        <w:numPr>
          <w:ilvl w:val="0"/>
          <w:numId w:val="2"/>
        </w:numPr>
        <w:spacing w:after="480" w:line="240" w:lineRule="auto"/>
        <w:ind w:left="300"/>
        <w:rPr>
          <w:rFonts w:ascii="&amp;quot" w:eastAsia="Times New Roman" w:hAnsi="&amp;quot" w:cs="Times New Roman"/>
          <w:color w:val="333333"/>
          <w:sz w:val="24"/>
          <w:szCs w:val="24"/>
          <w:lang w:eastAsia="en-GB"/>
        </w:rPr>
      </w:pPr>
      <w:r w:rsidRPr="00964FDF">
        <w:rPr>
          <w:rFonts w:ascii="&amp;quot" w:eastAsia="Times New Roman" w:hAnsi="&amp;quot" w:cs="Times New Roman"/>
          <w:color w:val="333333"/>
          <w:sz w:val="24"/>
          <w:szCs w:val="24"/>
          <w:lang w:eastAsia="en-GB"/>
        </w:rPr>
        <w:t xml:space="preserve">Wessely S, Chalder T, Hirsch S, et al. The epidemiology of chronic fatigue and chronic fatigue syndrome - a primary care study. Am J Public Health. </w:t>
      </w:r>
      <w:proofErr w:type="gramStart"/>
      <w:r w:rsidRPr="00964FDF">
        <w:rPr>
          <w:rFonts w:ascii="&amp;quot" w:eastAsia="Times New Roman" w:hAnsi="&amp;quot" w:cs="Times New Roman"/>
          <w:color w:val="333333"/>
          <w:sz w:val="24"/>
          <w:szCs w:val="24"/>
          <w:lang w:eastAsia="en-GB"/>
        </w:rPr>
        <w:t>1997;87:1449</w:t>
      </w:r>
      <w:proofErr w:type="gramEnd"/>
      <w:r w:rsidRPr="00964FDF">
        <w:rPr>
          <w:rFonts w:ascii="&amp;quot" w:eastAsia="Times New Roman" w:hAnsi="&amp;quot" w:cs="Times New Roman"/>
          <w:color w:val="333333"/>
          <w:sz w:val="24"/>
          <w:szCs w:val="24"/>
          <w:lang w:eastAsia="en-GB"/>
        </w:rPr>
        <w:t xml:space="preserve">–1455. </w:t>
      </w:r>
      <w:proofErr w:type="spellStart"/>
      <w:r w:rsidRPr="00964FDF">
        <w:rPr>
          <w:rFonts w:ascii="&amp;quot" w:eastAsia="Times New Roman" w:hAnsi="&amp;quot" w:cs="Times New Roman"/>
          <w:color w:val="333333"/>
          <w:sz w:val="24"/>
          <w:szCs w:val="24"/>
          <w:lang w:eastAsia="en-GB"/>
        </w:rPr>
        <w:t>doi</w:t>
      </w:r>
      <w:proofErr w:type="spellEnd"/>
      <w:r w:rsidRPr="00964FDF">
        <w:rPr>
          <w:rFonts w:ascii="&amp;quot" w:eastAsia="Times New Roman" w:hAnsi="&amp;quot" w:cs="Times New Roman"/>
          <w:color w:val="333333"/>
          <w:sz w:val="24"/>
          <w:szCs w:val="24"/>
          <w:lang w:eastAsia="en-GB"/>
        </w:rPr>
        <w:t>: 10.2105/AJPH.87.9.1449</w:t>
      </w:r>
    </w:p>
    <w:p w14:paraId="505B831A" w14:textId="61C16C3D" w:rsidR="00964FDF" w:rsidRDefault="00964FDF" w:rsidP="00964FDF">
      <w:pPr>
        <w:spacing w:after="480" w:line="437" w:lineRule="atLeast"/>
        <w:outlineLvl w:val="1"/>
        <w:rPr>
          <w:rFonts w:ascii="&amp;quot" w:eastAsia="Times New Roman" w:hAnsi="&amp;quot" w:cs="Times New Roman"/>
          <w:b/>
          <w:bCs/>
          <w:color w:val="333333"/>
          <w:sz w:val="34"/>
          <w:szCs w:val="34"/>
          <w:lang w:eastAsia="en-GB"/>
        </w:rPr>
      </w:pPr>
    </w:p>
    <w:sectPr w:rsidR="00964F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5BC1"/>
    <w:multiLevelType w:val="multilevel"/>
    <w:tmpl w:val="6A445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BE65DE"/>
    <w:multiLevelType w:val="multilevel"/>
    <w:tmpl w:val="8F24E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DF"/>
    <w:rsid w:val="000503BC"/>
    <w:rsid w:val="000F7A75"/>
    <w:rsid w:val="00126CEC"/>
    <w:rsid w:val="008E6248"/>
    <w:rsid w:val="00964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34ED"/>
  <w15:chartTrackingRefBased/>
  <w15:docId w15:val="{CA3EDB2E-E939-4443-8170-40616C41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64F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4FD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64F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lnk">
    <w:name w:val="ref-lnk"/>
    <w:basedOn w:val="DefaultParagraphFont"/>
    <w:rsid w:val="00964FDF"/>
  </w:style>
  <w:style w:type="character" w:styleId="Hyperlink">
    <w:name w:val="Hyperlink"/>
    <w:basedOn w:val="DefaultParagraphFont"/>
    <w:uiPriority w:val="99"/>
    <w:semiHidden/>
    <w:unhideWhenUsed/>
    <w:rsid w:val="00964FDF"/>
    <w:rPr>
      <w:color w:val="0000FF"/>
      <w:u w:val="single"/>
    </w:rPr>
  </w:style>
  <w:style w:type="character" w:customStyle="1" w:styleId="ref-overlay">
    <w:name w:val="ref-overlay"/>
    <w:basedOn w:val="DefaultParagraphFont"/>
    <w:rsid w:val="00964FDF"/>
  </w:style>
  <w:style w:type="character" w:customStyle="1" w:styleId="hlfld-contribauthor">
    <w:name w:val="hlfld-contribauthor"/>
    <w:basedOn w:val="DefaultParagraphFont"/>
    <w:rsid w:val="00964FDF"/>
  </w:style>
  <w:style w:type="character" w:customStyle="1" w:styleId="nlmgiven-names">
    <w:name w:val="nlm_given-names"/>
    <w:basedOn w:val="DefaultParagraphFont"/>
    <w:rsid w:val="00964FDF"/>
  </w:style>
  <w:style w:type="character" w:customStyle="1" w:styleId="nlmarticle-title">
    <w:name w:val="nlm_article-title"/>
    <w:basedOn w:val="DefaultParagraphFont"/>
    <w:rsid w:val="00964FDF"/>
  </w:style>
  <w:style w:type="character" w:customStyle="1" w:styleId="ref-links">
    <w:name w:val="ref-links"/>
    <w:basedOn w:val="DefaultParagraphFont"/>
    <w:rsid w:val="00964FDF"/>
  </w:style>
  <w:style w:type="character" w:customStyle="1" w:styleId="xlinks-container">
    <w:name w:val="xlinks-container"/>
    <w:basedOn w:val="DefaultParagraphFont"/>
    <w:rsid w:val="00964FDF"/>
  </w:style>
  <w:style w:type="character" w:customStyle="1" w:styleId="googlescholar-container">
    <w:name w:val="googlescholar-container"/>
    <w:basedOn w:val="DefaultParagraphFont"/>
    <w:rsid w:val="00964FDF"/>
  </w:style>
  <w:style w:type="character" w:customStyle="1" w:styleId="nlmyear">
    <w:name w:val="nlm_year"/>
    <w:basedOn w:val="DefaultParagraphFont"/>
    <w:rsid w:val="00964FDF"/>
  </w:style>
  <w:style w:type="character" w:customStyle="1" w:styleId="nlmfpage">
    <w:name w:val="nlm_fpage"/>
    <w:basedOn w:val="DefaultParagraphFont"/>
    <w:rsid w:val="00964FDF"/>
  </w:style>
  <w:style w:type="character" w:customStyle="1" w:styleId="nlmlpage">
    <w:name w:val="nlm_lpage"/>
    <w:basedOn w:val="DefaultParagraphFont"/>
    <w:rsid w:val="00964FDF"/>
  </w:style>
  <w:style w:type="character" w:customStyle="1" w:styleId="nlmpub-id">
    <w:name w:val="nlm_pub-id"/>
    <w:basedOn w:val="DefaultParagraphFont"/>
    <w:rsid w:val="00964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20444">
      <w:bodyDiv w:val="1"/>
      <w:marLeft w:val="0"/>
      <w:marRight w:val="0"/>
      <w:marTop w:val="0"/>
      <w:marBottom w:val="0"/>
      <w:divBdr>
        <w:top w:val="none" w:sz="0" w:space="0" w:color="auto"/>
        <w:left w:val="none" w:sz="0" w:space="0" w:color="auto"/>
        <w:bottom w:val="none" w:sz="0" w:space="0" w:color="auto"/>
        <w:right w:val="none" w:sz="0" w:space="0" w:color="auto"/>
      </w:divBdr>
      <w:divsChild>
        <w:div w:id="374231794">
          <w:marLeft w:val="0"/>
          <w:marRight w:val="0"/>
          <w:marTop w:val="0"/>
          <w:marBottom w:val="480"/>
          <w:divBdr>
            <w:top w:val="none" w:sz="0" w:space="0" w:color="auto"/>
            <w:left w:val="none" w:sz="0" w:space="0" w:color="auto"/>
            <w:bottom w:val="single" w:sz="6" w:space="12" w:color="auto"/>
            <w:right w:val="none" w:sz="0" w:space="0" w:color="auto"/>
          </w:divBdr>
          <w:divsChild>
            <w:div w:id="534126311">
              <w:marLeft w:val="0"/>
              <w:marRight w:val="0"/>
              <w:marTop w:val="0"/>
              <w:marBottom w:val="0"/>
              <w:divBdr>
                <w:top w:val="none" w:sz="0" w:space="0" w:color="auto"/>
                <w:left w:val="none" w:sz="0" w:space="0" w:color="auto"/>
                <w:bottom w:val="none" w:sz="0" w:space="0" w:color="auto"/>
                <w:right w:val="none" w:sz="0" w:space="0" w:color="auto"/>
              </w:divBdr>
              <w:divsChild>
                <w:div w:id="1106461384">
                  <w:marLeft w:val="0"/>
                  <w:marRight w:val="0"/>
                  <w:marTop w:val="0"/>
                  <w:marBottom w:val="480"/>
                  <w:divBdr>
                    <w:top w:val="none" w:sz="0" w:space="0" w:color="auto"/>
                    <w:left w:val="none" w:sz="0" w:space="0" w:color="auto"/>
                    <w:bottom w:val="none" w:sz="0" w:space="0" w:color="auto"/>
                    <w:right w:val="none" w:sz="0" w:space="0" w:color="auto"/>
                  </w:divBdr>
                  <w:divsChild>
                    <w:div w:id="11096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5787">
          <w:marLeft w:val="0"/>
          <w:marRight w:val="0"/>
          <w:marTop w:val="0"/>
          <w:marBottom w:val="480"/>
          <w:divBdr>
            <w:top w:val="none" w:sz="0" w:space="0" w:color="auto"/>
            <w:left w:val="none" w:sz="0" w:space="0" w:color="auto"/>
            <w:bottom w:val="single" w:sz="6" w:space="12" w:color="auto"/>
            <w:right w:val="none" w:sz="0" w:space="0" w:color="auto"/>
          </w:divBdr>
        </w:div>
        <w:div w:id="261105519">
          <w:marLeft w:val="0"/>
          <w:marRight w:val="0"/>
          <w:marTop w:val="0"/>
          <w:marBottom w:val="0"/>
          <w:divBdr>
            <w:top w:val="none" w:sz="0" w:space="0" w:color="auto"/>
            <w:left w:val="none" w:sz="0" w:space="0" w:color="auto"/>
            <w:bottom w:val="none" w:sz="0" w:space="0" w:color="auto"/>
            <w:right w:val="none" w:sz="0" w:space="0" w:color="auto"/>
          </w:divBdr>
        </w:div>
        <w:div w:id="1629624953">
          <w:marLeft w:val="0"/>
          <w:marRight w:val="0"/>
          <w:marTop w:val="0"/>
          <w:marBottom w:val="0"/>
          <w:divBdr>
            <w:top w:val="none" w:sz="0" w:space="0" w:color="auto"/>
            <w:left w:val="none" w:sz="0" w:space="0" w:color="auto"/>
            <w:bottom w:val="none" w:sz="0" w:space="0" w:color="auto"/>
            <w:right w:val="none" w:sz="0" w:space="0" w:color="auto"/>
          </w:divBdr>
        </w:div>
        <w:div w:id="685911549">
          <w:marLeft w:val="0"/>
          <w:marRight w:val="0"/>
          <w:marTop w:val="0"/>
          <w:marBottom w:val="0"/>
          <w:divBdr>
            <w:top w:val="none" w:sz="0" w:space="0" w:color="auto"/>
            <w:left w:val="none" w:sz="0" w:space="0" w:color="auto"/>
            <w:bottom w:val="none" w:sz="0" w:space="0" w:color="auto"/>
            <w:right w:val="none" w:sz="0" w:space="0" w:color="auto"/>
          </w:divBdr>
        </w:div>
        <w:div w:id="1467815201">
          <w:marLeft w:val="0"/>
          <w:marRight w:val="0"/>
          <w:marTop w:val="0"/>
          <w:marBottom w:val="0"/>
          <w:divBdr>
            <w:top w:val="none" w:sz="0" w:space="0" w:color="auto"/>
            <w:left w:val="none" w:sz="0" w:space="0" w:color="auto"/>
            <w:bottom w:val="none" w:sz="0" w:space="0" w:color="auto"/>
            <w:right w:val="none" w:sz="0" w:space="0" w:color="auto"/>
          </w:divBdr>
        </w:div>
        <w:div w:id="519707996">
          <w:marLeft w:val="0"/>
          <w:marRight w:val="0"/>
          <w:marTop w:val="0"/>
          <w:marBottom w:val="0"/>
          <w:divBdr>
            <w:top w:val="none" w:sz="0" w:space="0" w:color="auto"/>
            <w:left w:val="none" w:sz="0" w:space="0" w:color="auto"/>
            <w:bottom w:val="none" w:sz="0" w:space="0" w:color="auto"/>
            <w:right w:val="none" w:sz="0" w:space="0" w:color="auto"/>
          </w:divBdr>
        </w:div>
        <w:div w:id="1668748487">
          <w:marLeft w:val="0"/>
          <w:marRight w:val="0"/>
          <w:marTop w:val="0"/>
          <w:marBottom w:val="0"/>
          <w:divBdr>
            <w:top w:val="none" w:sz="0" w:space="0" w:color="auto"/>
            <w:left w:val="none" w:sz="0" w:space="0" w:color="auto"/>
            <w:bottom w:val="none" w:sz="0" w:space="0" w:color="auto"/>
            <w:right w:val="none" w:sz="0" w:space="0" w:color="auto"/>
          </w:divBdr>
        </w:div>
        <w:div w:id="628974442">
          <w:marLeft w:val="0"/>
          <w:marRight w:val="0"/>
          <w:marTop w:val="0"/>
          <w:marBottom w:val="0"/>
          <w:divBdr>
            <w:top w:val="none" w:sz="0" w:space="0" w:color="auto"/>
            <w:left w:val="none" w:sz="0" w:space="0" w:color="auto"/>
            <w:bottom w:val="none" w:sz="0" w:space="0" w:color="auto"/>
            <w:right w:val="none" w:sz="0" w:space="0" w:color="auto"/>
          </w:divBdr>
        </w:div>
      </w:divsChild>
    </w:div>
    <w:div w:id="1569881264">
      <w:bodyDiv w:val="1"/>
      <w:marLeft w:val="0"/>
      <w:marRight w:val="0"/>
      <w:marTop w:val="0"/>
      <w:marBottom w:val="0"/>
      <w:divBdr>
        <w:top w:val="none" w:sz="0" w:space="0" w:color="auto"/>
        <w:left w:val="none" w:sz="0" w:space="0" w:color="auto"/>
        <w:bottom w:val="none" w:sz="0" w:space="0" w:color="auto"/>
        <w:right w:val="none" w:sz="0" w:space="0" w:color="auto"/>
      </w:divBdr>
      <w:divsChild>
        <w:div w:id="1001858472">
          <w:marLeft w:val="0"/>
          <w:marRight w:val="0"/>
          <w:marTop w:val="0"/>
          <w:marBottom w:val="480"/>
          <w:divBdr>
            <w:top w:val="none" w:sz="0" w:space="0" w:color="auto"/>
            <w:left w:val="none" w:sz="0" w:space="0" w:color="auto"/>
            <w:bottom w:val="single" w:sz="6" w:space="12" w:color="auto"/>
            <w:right w:val="none" w:sz="0" w:space="0" w:color="auto"/>
          </w:divBdr>
          <w:divsChild>
            <w:div w:id="1627813037">
              <w:marLeft w:val="0"/>
              <w:marRight w:val="0"/>
              <w:marTop w:val="0"/>
              <w:marBottom w:val="0"/>
              <w:divBdr>
                <w:top w:val="none" w:sz="0" w:space="0" w:color="auto"/>
                <w:left w:val="none" w:sz="0" w:space="0" w:color="auto"/>
                <w:bottom w:val="none" w:sz="0" w:space="0" w:color="auto"/>
                <w:right w:val="none" w:sz="0" w:space="0" w:color="auto"/>
              </w:divBdr>
              <w:divsChild>
                <w:div w:id="273169014">
                  <w:marLeft w:val="0"/>
                  <w:marRight w:val="0"/>
                  <w:marTop w:val="0"/>
                  <w:marBottom w:val="480"/>
                  <w:divBdr>
                    <w:top w:val="none" w:sz="0" w:space="0" w:color="auto"/>
                    <w:left w:val="none" w:sz="0" w:space="0" w:color="auto"/>
                    <w:bottom w:val="none" w:sz="0" w:space="0" w:color="auto"/>
                    <w:right w:val="none" w:sz="0" w:space="0" w:color="auto"/>
                  </w:divBdr>
                  <w:divsChild>
                    <w:div w:id="11707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11174">
          <w:marLeft w:val="0"/>
          <w:marRight w:val="0"/>
          <w:marTop w:val="0"/>
          <w:marBottom w:val="480"/>
          <w:divBdr>
            <w:top w:val="none" w:sz="0" w:space="0" w:color="auto"/>
            <w:left w:val="none" w:sz="0" w:space="0" w:color="auto"/>
            <w:bottom w:val="single" w:sz="6" w:space="12" w:color="auto"/>
            <w:right w:val="none" w:sz="0" w:space="0" w:color="auto"/>
          </w:divBdr>
        </w:div>
        <w:div w:id="1149664583">
          <w:marLeft w:val="0"/>
          <w:marRight w:val="0"/>
          <w:marTop w:val="0"/>
          <w:marBottom w:val="0"/>
          <w:divBdr>
            <w:top w:val="none" w:sz="0" w:space="0" w:color="auto"/>
            <w:left w:val="none" w:sz="0" w:space="0" w:color="auto"/>
            <w:bottom w:val="none" w:sz="0" w:space="0" w:color="auto"/>
            <w:right w:val="none" w:sz="0" w:space="0" w:color="auto"/>
          </w:divBdr>
        </w:div>
        <w:div w:id="1252469635">
          <w:marLeft w:val="0"/>
          <w:marRight w:val="0"/>
          <w:marTop w:val="0"/>
          <w:marBottom w:val="0"/>
          <w:divBdr>
            <w:top w:val="none" w:sz="0" w:space="0" w:color="auto"/>
            <w:left w:val="none" w:sz="0" w:space="0" w:color="auto"/>
            <w:bottom w:val="none" w:sz="0" w:space="0" w:color="auto"/>
            <w:right w:val="none" w:sz="0" w:space="0" w:color="auto"/>
          </w:divBdr>
        </w:div>
        <w:div w:id="1604264087">
          <w:marLeft w:val="0"/>
          <w:marRight w:val="0"/>
          <w:marTop w:val="0"/>
          <w:marBottom w:val="0"/>
          <w:divBdr>
            <w:top w:val="none" w:sz="0" w:space="0" w:color="auto"/>
            <w:left w:val="none" w:sz="0" w:space="0" w:color="auto"/>
            <w:bottom w:val="none" w:sz="0" w:space="0" w:color="auto"/>
            <w:right w:val="none" w:sz="0" w:space="0" w:color="auto"/>
          </w:divBdr>
        </w:div>
        <w:div w:id="1441533214">
          <w:marLeft w:val="0"/>
          <w:marRight w:val="0"/>
          <w:marTop w:val="0"/>
          <w:marBottom w:val="0"/>
          <w:divBdr>
            <w:top w:val="none" w:sz="0" w:space="0" w:color="auto"/>
            <w:left w:val="none" w:sz="0" w:space="0" w:color="auto"/>
            <w:bottom w:val="none" w:sz="0" w:space="0" w:color="auto"/>
            <w:right w:val="none" w:sz="0" w:space="0" w:color="auto"/>
          </w:divBdr>
        </w:div>
        <w:div w:id="1007563642">
          <w:marLeft w:val="0"/>
          <w:marRight w:val="0"/>
          <w:marTop w:val="0"/>
          <w:marBottom w:val="0"/>
          <w:divBdr>
            <w:top w:val="none" w:sz="0" w:space="0" w:color="auto"/>
            <w:left w:val="none" w:sz="0" w:space="0" w:color="auto"/>
            <w:bottom w:val="none" w:sz="0" w:space="0" w:color="auto"/>
            <w:right w:val="none" w:sz="0" w:space="0" w:color="auto"/>
          </w:divBdr>
        </w:div>
        <w:div w:id="1775905219">
          <w:marLeft w:val="0"/>
          <w:marRight w:val="0"/>
          <w:marTop w:val="0"/>
          <w:marBottom w:val="0"/>
          <w:divBdr>
            <w:top w:val="none" w:sz="0" w:space="0" w:color="auto"/>
            <w:left w:val="none" w:sz="0" w:space="0" w:color="auto"/>
            <w:bottom w:val="none" w:sz="0" w:space="0" w:color="auto"/>
            <w:right w:val="none" w:sz="0" w:space="0" w:color="auto"/>
          </w:divBdr>
        </w:div>
        <w:div w:id="78238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21641846.2017.1364148?scroll=top&amp;needAccess=tru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ndfonline.com/doi/full/10.1080/21641846.2017.1364148?scroll=top&amp;needAccess=true" TargetMode="External"/><Relationship Id="rId12" Type="http://schemas.openxmlformats.org/officeDocument/2006/relationships/hyperlink" Target="http://www.tandfonline.com/doi/full/10.1080/21641846.2017.13535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ndfonline.com/doi/full/10.1080/21641846.2017.1364148?scroll=top&amp;needAccess=true" TargetMode="External"/><Relationship Id="rId11" Type="http://schemas.openxmlformats.org/officeDocument/2006/relationships/hyperlink" Target="https://www.tandfonline.com/doi/full/10.1080/21641846.2017.1364148?scroll=top&amp;needAccess=true" TargetMode="External"/><Relationship Id="rId5" Type="http://schemas.openxmlformats.org/officeDocument/2006/relationships/hyperlink" Target="https://www.tandfonline.com/doi/full/10.1080/21641846.2017.1364148?scroll=top&amp;needAccess=true"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s://www.tandfonline.com/doi/full/10.1080/21641846.2017.1364148?scroll=top&amp;needAccess=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Wessely, Simon</dc:creator>
  <cp:keywords/>
  <dc:description/>
  <cp:lastModifiedBy>Wessely, Simon</cp:lastModifiedBy>
  <cp:revision>3</cp:revision>
  <dcterms:created xsi:type="dcterms:W3CDTF">2018-12-22T19:06:00Z</dcterms:created>
  <dcterms:modified xsi:type="dcterms:W3CDTF">2018-12-22T19:16:00Z</dcterms:modified>
</cp:coreProperties>
</file>